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F935" w14:textId="46144121" w:rsidR="008732FC" w:rsidRPr="003E0574" w:rsidRDefault="008732FC" w:rsidP="00BF7D09">
      <w:pPr>
        <w:spacing w:line="0" w:lineRule="atLeast"/>
        <w:jc w:val="center"/>
        <w:rPr>
          <w:b/>
          <w:bCs/>
        </w:rPr>
      </w:pPr>
      <w:r w:rsidRPr="003E0574">
        <w:rPr>
          <w:b/>
          <w:bCs/>
        </w:rPr>
        <w:t xml:space="preserve">Crafting </w:t>
      </w:r>
      <w:r w:rsidR="00552128" w:rsidRPr="003E0574">
        <w:rPr>
          <w:b/>
          <w:bCs/>
        </w:rPr>
        <w:t>M</w:t>
      </w:r>
      <w:r w:rsidR="00957907" w:rsidRPr="003E0574">
        <w:rPr>
          <w:b/>
          <w:bCs/>
        </w:rPr>
        <w:t xml:space="preserve">etacognitive Teaching </w:t>
      </w:r>
      <w:r w:rsidRPr="003E0574">
        <w:rPr>
          <w:b/>
          <w:bCs/>
        </w:rPr>
        <w:t xml:space="preserve">Strategies </w:t>
      </w:r>
      <w:r w:rsidR="00957907" w:rsidRPr="003E0574">
        <w:rPr>
          <w:b/>
          <w:bCs/>
        </w:rPr>
        <w:t>through</w:t>
      </w:r>
      <w:r w:rsidRPr="003E0574">
        <w:rPr>
          <w:b/>
          <w:bCs/>
        </w:rPr>
        <w:t xml:space="preserve"> </w:t>
      </w:r>
      <w:r w:rsidR="00957907" w:rsidRPr="003E0574">
        <w:rPr>
          <w:b/>
          <w:bCs/>
        </w:rPr>
        <w:t>Lesson Study</w:t>
      </w:r>
      <w:r w:rsidRPr="003E0574">
        <w:rPr>
          <w:b/>
          <w:bCs/>
        </w:rPr>
        <w:t xml:space="preserve">: </w:t>
      </w:r>
    </w:p>
    <w:p w14:paraId="1C57D248" w14:textId="544E56D4" w:rsidR="00E4717D" w:rsidRPr="003E0574" w:rsidRDefault="008732FC" w:rsidP="00BF7D09">
      <w:pPr>
        <w:spacing w:line="0" w:lineRule="atLeast"/>
        <w:jc w:val="center"/>
        <w:rPr>
          <w:b/>
          <w:bCs/>
        </w:rPr>
      </w:pPr>
      <w:r w:rsidRPr="003E0574">
        <w:rPr>
          <w:b/>
          <w:bCs/>
        </w:rPr>
        <w:t>A</w:t>
      </w:r>
      <w:r w:rsidR="00E4717D" w:rsidRPr="003E0574">
        <w:rPr>
          <w:b/>
          <w:bCs/>
        </w:rPr>
        <w:t xml:space="preserve"> </w:t>
      </w:r>
      <w:r w:rsidRPr="003E0574">
        <w:rPr>
          <w:b/>
          <w:bCs/>
        </w:rPr>
        <w:t>Study in Teacher Education</w:t>
      </w:r>
    </w:p>
    <w:p w14:paraId="702AE3BA" w14:textId="77777777" w:rsidR="0068226B" w:rsidRPr="007C5A96" w:rsidRDefault="0068226B" w:rsidP="00BF7D09">
      <w:pPr>
        <w:spacing w:line="0" w:lineRule="atLeast"/>
      </w:pPr>
    </w:p>
    <w:p w14:paraId="21D10225" w14:textId="77777777" w:rsidR="00231F58" w:rsidRPr="007C5A96" w:rsidRDefault="00231F58" w:rsidP="00BF7D09">
      <w:pPr>
        <w:spacing w:line="0" w:lineRule="atLeast"/>
      </w:pPr>
      <w:r w:rsidRPr="007C5A96">
        <w:t>Abstract</w:t>
      </w:r>
    </w:p>
    <w:p w14:paraId="6A4C0DAC" w14:textId="4893FC14" w:rsidR="00957907" w:rsidRPr="007C5A96" w:rsidRDefault="00957907" w:rsidP="00BF7D09">
      <w:pPr>
        <w:spacing w:line="0" w:lineRule="atLeast"/>
      </w:pPr>
      <w:r w:rsidRPr="007C5A96">
        <w:t xml:space="preserve">Purpose </w:t>
      </w:r>
    </w:p>
    <w:p w14:paraId="02B55D39" w14:textId="7F45296B" w:rsidR="007620FB" w:rsidRPr="007C5A96" w:rsidRDefault="00675C08" w:rsidP="00675C08">
      <w:pPr>
        <w:spacing w:line="0" w:lineRule="atLeast"/>
        <w:jc w:val="both"/>
      </w:pPr>
      <w:r w:rsidRPr="007C5A96">
        <w:t xml:space="preserve">This paper </w:t>
      </w:r>
      <w:r w:rsidR="00620AE4" w:rsidRPr="007C5A96">
        <w:t>reports</w:t>
      </w:r>
      <w:r w:rsidR="00274E0B" w:rsidRPr="007C5A96">
        <w:t xml:space="preserve"> a study </w:t>
      </w:r>
      <w:r w:rsidR="00620AE4" w:rsidRPr="007C5A96">
        <w:t xml:space="preserve">using </w:t>
      </w:r>
      <w:r w:rsidRPr="007C5A96">
        <w:t xml:space="preserve">Lesson Study </w:t>
      </w:r>
      <w:r w:rsidR="008732FC" w:rsidRPr="007C5A96">
        <w:t>to</w:t>
      </w:r>
      <w:r w:rsidRPr="007C5A96">
        <w:t xml:space="preserve"> nurtur</w:t>
      </w:r>
      <w:r w:rsidR="008732FC" w:rsidRPr="007C5A96">
        <w:t>e</w:t>
      </w:r>
      <w:r w:rsidRPr="007C5A96">
        <w:t xml:space="preserve"> pre-service teachers metacognitive teaching knowledge and skills to address the implementation of Learning to Learn </w:t>
      </w:r>
      <w:r w:rsidR="00145525" w:rsidRPr="007C5A96">
        <w:t>2.0</w:t>
      </w:r>
      <w:r w:rsidR="00B369C6">
        <w:t>+</w:t>
      </w:r>
      <w:r w:rsidR="00145525" w:rsidRPr="007C5A96">
        <w:t xml:space="preserve"> </w:t>
      </w:r>
      <w:r w:rsidRPr="007C5A96">
        <w:t>curriculum in Hong Kong.</w:t>
      </w:r>
      <w:r w:rsidR="00F31F69" w:rsidRPr="007C5A96">
        <w:t xml:space="preserve"> </w:t>
      </w:r>
      <w:r w:rsidR="008732FC" w:rsidRPr="007C5A96">
        <w:t>Lesson study was adopted to craft metacognitive teaching strategies in a</w:t>
      </w:r>
      <w:r w:rsidR="00B369C6">
        <w:t>n</w:t>
      </w:r>
      <w:r w:rsidR="008732FC" w:rsidRPr="007C5A96">
        <w:t xml:space="preserve"> </w:t>
      </w:r>
      <w:r w:rsidR="00B369C6">
        <w:t xml:space="preserve">action </w:t>
      </w:r>
      <w:r w:rsidR="008732FC" w:rsidRPr="007C5A96">
        <w:t xml:space="preserve">research course of a pre-service </w:t>
      </w:r>
      <w:r w:rsidR="008732FC" w:rsidRPr="00B66343">
        <w:t xml:space="preserve">teacher education programme of an Education University in Hong Kong. </w:t>
      </w:r>
    </w:p>
    <w:p w14:paraId="02C6101A" w14:textId="77777777" w:rsidR="007620FB" w:rsidRPr="007C5A96" w:rsidRDefault="007620FB" w:rsidP="00BF7D09">
      <w:pPr>
        <w:spacing w:line="0" w:lineRule="atLeast"/>
      </w:pPr>
    </w:p>
    <w:p w14:paraId="0364785D" w14:textId="703A70DE" w:rsidR="00957907" w:rsidRPr="007C5A96" w:rsidRDefault="00957907" w:rsidP="00BF7D09">
      <w:pPr>
        <w:spacing w:line="0" w:lineRule="atLeast"/>
      </w:pPr>
      <w:r w:rsidRPr="007C5A96">
        <w:t xml:space="preserve">Design/methodology/approach </w:t>
      </w:r>
    </w:p>
    <w:p w14:paraId="26F5EC36" w14:textId="13D32544" w:rsidR="00F31F69" w:rsidRPr="007C5A96" w:rsidRDefault="008732FC" w:rsidP="00675C08">
      <w:pPr>
        <w:spacing w:line="0" w:lineRule="atLeast"/>
        <w:jc w:val="both"/>
      </w:pPr>
      <w:r w:rsidRPr="007C5A96">
        <w:t>An e</w:t>
      </w:r>
      <w:r w:rsidR="00675C08" w:rsidRPr="007C5A96">
        <w:t xml:space="preserve">xperimental design with </w:t>
      </w:r>
      <w:r w:rsidRPr="007C5A96">
        <w:t xml:space="preserve">a </w:t>
      </w:r>
      <w:r w:rsidR="00620AE4" w:rsidRPr="007C5A96">
        <w:t xml:space="preserve">control group and </w:t>
      </w:r>
      <w:r w:rsidRPr="007C5A96">
        <w:t xml:space="preserve">an </w:t>
      </w:r>
      <w:r w:rsidR="00620AE4" w:rsidRPr="007C5A96">
        <w:t>experimental group was adopted as the research method. L</w:t>
      </w:r>
      <w:r w:rsidR="00675C08" w:rsidRPr="007C5A96">
        <w:t xml:space="preserve">esson Study </w:t>
      </w:r>
      <w:r w:rsidR="00620AE4" w:rsidRPr="007C5A96">
        <w:t xml:space="preserve">that </w:t>
      </w:r>
      <w:r w:rsidRPr="007C5A96">
        <w:t xml:space="preserve">aims to develop </w:t>
      </w:r>
      <w:r w:rsidR="00675C08" w:rsidRPr="007C5A96">
        <w:t xml:space="preserve">metacognitive teaching </w:t>
      </w:r>
      <w:r w:rsidR="00620AE4" w:rsidRPr="007C5A96">
        <w:t>strategies were a</w:t>
      </w:r>
      <w:r w:rsidRPr="007C5A96">
        <w:t>dopted</w:t>
      </w:r>
      <w:r w:rsidR="00620AE4" w:rsidRPr="007C5A96">
        <w:t xml:space="preserve"> as </w:t>
      </w:r>
      <w:r w:rsidRPr="007C5A96">
        <w:t>an</w:t>
      </w:r>
      <w:r w:rsidR="00675C08" w:rsidRPr="007C5A96">
        <w:t xml:space="preserve"> </w:t>
      </w:r>
      <w:r w:rsidR="00620AE4" w:rsidRPr="007C5A96">
        <w:t xml:space="preserve">intervention </w:t>
      </w:r>
      <w:r w:rsidRPr="007C5A96">
        <w:t>to</w:t>
      </w:r>
      <w:r w:rsidR="00675C08" w:rsidRPr="007C5A96">
        <w:t xml:space="preserve"> </w:t>
      </w:r>
      <w:r w:rsidR="00620AE4" w:rsidRPr="007C5A96">
        <w:t xml:space="preserve">the </w:t>
      </w:r>
      <w:r w:rsidR="00675C08" w:rsidRPr="007C5A96">
        <w:t xml:space="preserve">experimental group. </w:t>
      </w:r>
      <w:r w:rsidR="00B369C6" w:rsidRPr="00B66343">
        <w:t>Flavell (1979) and Brown (1987) metacognition models which conceptualize</w:t>
      </w:r>
      <w:r w:rsidR="00B369C6" w:rsidRPr="007C5A96">
        <w:t xml:space="preserve"> metacognition as knowledge of cognition, regulation of cognition and motivational learning experience</w:t>
      </w:r>
      <w:r w:rsidR="00B369C6">
        <w:t>s were adopted as the guiding principles for instructional design.</w:t>
      </w:r>
      <w:r w:rsidR="00B369C6" w:rsidRPr="007C5A96">
        <w:t xml:space="preserve"> </w:t>
      </w:r>
      <w:r w:rsidR="00675C08" w:rsidRPr="007C5A96">
        <w:t xml:space="preserve">Pre-post questionnaire survey </w:t>
      </w:r>
      <w:r w:rsidR="00F31F69" w:rsidRPr="007C5A96">
        <w:t xml:space="preserve">on metacognitive teaching was applied to collected data from </w:t>
      </w:r>
      <w:r w:rsidR="002C6448" w:rsidRPr="007C5A96">
        <w:t>both control</w:t>
      </w:r>
      <w:r w:rsidR="00F31F69" w:rsidRPr="007C5A96">
        <w:t xml:space="preserve"> group and experimental group</w:t>
      </w:r>
      <w:r w:rsidR="00620AE4" w:rsidRPr="007C5A96">
        <w:t>.</w:t>
      </w:r>
      <w:r w:rsidR="00F31F69" w:rsidRPr="007C5A96">
        <w:t xml:space="preserve"> </w:t>
      </w:r>
      <w:r w:rsidR="0055301C">
        <w:t>Exploratory</w:t>
      </w:r>
      <w:r w:rsidR="002C6448" w:rsidRPr="007C5A96">
        <w:t xml:space="preserve"> f</w:t>
      </w:r>
      <w:r w:rsidR="00F31F69" w:rsidRPr="007C5A96">
        <w:t xml:space="preserve">actor analysis </w:t>
      </w:r>
      <w:r w:rsidR="002C6448" w:rsidRPr="007C5A96">
        <w:t>(</w:t>
      </w:r>
      <w:r w:rsidR="0055301C">
        <w:t>E</w:t>
      </w:r>
      <w:r w:rsidR="002C6448" w:rsidRPr="007C5A96">
        <w:t xml:space="preserve">FA) </w:t>
      </w:r>
      <w:r w:rsidR="00F31F69" w:rsidRPr="007C5A96">
        <w:t xml:space="preserve">and reliability test was applied to test the constructed validity and reliability of the </w:t>
      </w:r>
      <w:proofErr w:type="gramStart"/>
      <w:r w:rsidR="00F31F69" w:rsidRPr="007C5A96">
        <w:t>instrument</w:t>
      </w:r>
      <w:proofErr w:type="gramEnd"/>
      <w:r w:rsidR="00282654">
        <w:t xml:space="preserve"> respectively</w:t>
      </w:r>
      <w:r w:rsidR="002C6448" w:rsidRPr="007C5A96">
        <w:t>.</w:t>
      </w:r>
      <w:r w:rsidR="001B2FEF" w:rsidRPr="007C5A96">
        <w:t xml:space="preserve"> T-test was applied to </w:t>
      </w:r>
      <w:r w:rsidR="00282654">
        <w:t>gauge</w:t>
      </w:r>
      <w:r w:rsidR="001B2FEF" w:rsidRPr="007C5A96">
        <w:t xml:space="preserve"> the significant of the incremental scores</w:t>
      </w:r>
      <w:r w:rsidR="00274E0B" w:rsidRPr="007C5A96">
        <w:t xml:space="preserve"> of the pre-post </w:t>
      </w:r>
      <w:r w:rsidR="002C6448" w:rsidRPr="007C5A96">
        <w:t>survey</w:t>
      </w:r>
      <w:r w:rsidR="001B2FEF" w:rsidRPr="007C5A96">
        <w:t>.</w:t>
      </w:r>
    </w:p>
    <w:p w14:paraId="5CFACF6F" w14:textId="772D7BDE" w:rsidR="00675C08" w:rsidRPr="007C5A96" w:rsidRDefault="00F31F69" w:rsidP="00675C08">
      <w:pPr>
        <w:spacing w:line="0" w:lineRule="atLeast"/>
        <w:jc w:val="both"/>
      </w:pPr>
      <w:r w:rsidRPr="007C5A96">
        <w:t xml:space="preserve">  </w:t>
      </w:r>
    </w:p>
    <w:p w14:paraId="406A33C4" w14:textId="0D08DA2E" w:rsidR="00957907" w:rsidRPr="007C5A96" w:rsidRDefault="00957907" w:rsidP="00BF7D09">
      <w:pPr>
        <w:spacing w:line="0" w:lineRule="atLeast"/>
      </w:pPr>
      <w:r w:rsidRPr="007C5A96">
        <w:t xml:space="preserve">Findings </w:t>
      </w:r>
    </w:p>
    <w:p w14:paraId="4393A410" w14:textId="764BC9A1" w:rsidR="00F31F69" w:rsidRPr="007C5A96" w:rsidRDefault="009F058E" w:rsidP="00552128">
      <w:pPr>
        <w:spacing w:line="0" w:lineRule="atLeast"/>
        <w:jc w:val="both"/>
      </w:pPr>
      <w:r w:rsidRPr="007C5A96">
        <w:t>M</w:t>
      </w:r>
      <w:r w:rsidR="002C6448" w:rsidRPr="007C5A96">
        <w:t xml:space="preserve">odelling thinking process, </w:t>
      </w:r>
      <w:bookmarkStart w:id="0" w:name="_Hlk46734608"/>
      <w:r w:rsidR="002C6448" w:rsidRPr="007C5A96">
        <w:t>thought-provoking reflections</w:t>
      </w:r>
      <w:bookmarkEnd w:id="0"/>
      <w:r w:rsidR="002C6448" w:rsidRPr="007C5A96">
        <w:t xml:space="preserve">, reviewing thinking process, enabling self-regulation and motivational feedback </w:t>
      </w:r>
      <w:r w:rsidR="001B2FEF" w:rsidRPr="007C5A96">
        <w:t xml:space="preserve">for </w:t>
      </w:r>
      <w:r w:rsidR="00274E0B" w:rsidRPr="007C5A96">
        <w:t>metacognition</w:t>
      </w:r>
      <w:r w:rsidR="002C6448" w:rsidRPr="007C5A96">
        <w:t xml:space="preserve"> teaching</w:t>
      </w:r>
      <w:r w:rsidR="001B2FEF" w:rsidRPr="007C5A96">
        <w:t xml:space="preserve"> </w:t>
      </w:r>
      <w:r w:rsidR="004B2E45" w:rsidRPr="007C5A96">
        <w:t>were</w:t>
      </w:r>
      <w:r w:rsidR="001B2FEF" w:rsidRPr="007C5A96">
        <w:t xml:space="preserve"> </w:t>
      </w:r>
      <w:r w:rsidR="00274E0B" w:rsidRPr="007C5A96">
        <w:t>empirically constructed</w:t>
      </w:r>
      <w:r w:rsidR="002C6448" w:rsidRPr="007C5A96">
        <w:t xml:space="preserve"> by CFA</w:t>
      </w:r>
      <w:r w:rsidR="001B2FEF" w:rsidRPr="007C5A96">
        <w:t>.</w:t>
      </w:r>
      <w:r w:rsidR="002C6448" w:rsidRPr="007C5A96">
        <w:t xml:space="preserve"> The r</w:t>
      </w:r>
      <w:r w:rsidR="00F31F69" w:rsidRPr="007C5A96">
        <w:t xml:space="preserve">esults </w:t>
      </w:r>
      <w:r w:rsidR="00EA38C1" w:rsidRPr="007C5A96">
        <w:t xml:space="preserve">of the t-tests </w:t>
      </w:r>
      <w:r w:rsidR="00F31F69" w:rsidRPr="007C5A96">
        <w:t xml:space="preserve">show that </w:t>
      </w:r>
      <w:r w:rsidR="001B2FEF" w:rsidRPr="007C5A96">
        <w:t xml:space="preserve">significant </w:t>
      </w:r>
      <w:r w:rsidR="00EA38C1" w:rsidRPr="007C5A96">
        <w:t xml:space="preserve">differences between pre-post </w:t>
      </w:r>
      <w:r w:rsidR="002C6448" w:rsidRPr="007C5A96">
        <w:t>survey</w:t>
      </w:r>
      <w:r w:rsidR="00274E0B" w:rsidRPr="007C5A96">
        <w:t xml:space="preserve"> </w:t>
      </w:r>
      <w:r w:rsidR="001B2FEF" w:rsidRPr="007C5A96">
        <w:t>w</w:t>
      </w:r>
      <w:r w:rsidR="00EA38C1" w:rsidRPr="007C5A96">
        <w:t>ere</w:t>
      </w:r>
      <w:r w:rsidR="001B2FEF" w:rsidRPr="007C5A96">
        <w:t xml:space="preserve"> found in modelling thinking process, </w:t>
      </w:r>
      <w:r w:rsidR="002C6448" w:rsidRPr="007C5A96">
        <w:t>thought-provoking reflections</w:t>
      </w:r>
      <w:r w:rsidR="00C26EA1" w:rsidRPr="007C5A96">
        <w:t xml:space="preserve"> and</w:t>
      </w:r>
      <w:r w:rsidR="002C6448" w:rsidRPr="007C5A96">
        <w:t xml:space="preserve"> reviewing</w:t>
      </w:r>
      <w:r w:rsidR="001B2FEF" w:rsidRPr="007C5A96">
        <w:t xml:space="preserve"> thinking process in the experimental group.</w:t>
      </w:r>
      <w:r w:rsidR="00EA38C1" w:rsidRPr="007C5A96">
        <w:t xml:space="preserve"> </w:t>
      </w:r>
      <w:r w:rsidR="009559B6" w:rsidRPr="007C5A96">
        <w:t xml:space="preserve">Lesson Study </w:t>
      </w:r>
      <w:r w:rsidR="009559B6">
        <w:t xml:space="preserve">can be adopted as </w:t>
      </w:r>
      <w:r w:rsidR="009559B6" w:rsidRPr="007C5A96">
        <w:t xml:space="preserve">a collaborative platform for </w:t>
      </w:r>
      <w:r w:rsidR="009559B6">
        <w:t xml:space="preserve">pre-service </w:t>
      </w:r>
      <w:r w:rsidR="009559B6" w:rsidRPr="007C5A96">
        <w:t xml:space="preserve">teachers to brainstorm teaching strategies mutually, </w:t>
      </w:r>
      <w:r w:rsidR="009559B6">
        <w:t xml:space="preserve">thus </w:t>
      </w:r>
      <w:r w:rsidR="009559B6" w:rsidRPr="007C5A96">
        <w:t>enabl</w:t>
      </w:r>
      <w:r w:rsidR="009559B6">
        <w:t>ing</w:t>
      </w:r>
      <w:r w:rsidR="009559B6" w:rsidRPr="007C5A96">
        <w:t xml:space="preserve"> them to regulate their cognitions </w:t>
      </w:r>
      <w:r w:rsidR="009559B6">
        <w:t xml:space="preserve">for developing </w:t>
      </w:r>
      <w:r w:rsidR="009559B6" w:rsidRPr="007C5A96">
        <w:t xml:space="preserve">their metacognitive teaching competencies.  </w:t>
      </w:r>
    </w:p>
    <w:p w14:paraId="10E1EDD2" w14:textId="77777777" w:rsidR="00F31F69" w:rsidRPr="007C5A96" w:rsidRDefault="00F31F69" w:rsidP="00BF7D09">
      <w:pPr>
        <w:spacing w:line="0" w:lineRule="atLeast"/>
      </w:pPr>
    </w:p>
    <w:p w14:paraId="4294C7C3" w14:textId="27A6CEFC" w:rsidR="00957907" w:rsidRPr="007C5A96" w:rsidRDefault="00957907" w:rsidP="00BF7D09">
      <w:pPr>
        <w:spacing w:line="0" w:lineRule="atLeast"/>
      </w:pPr>
      <w:r w:rsidRPr="007C5A96">
        <w:t xml:space="preserve">Practical implications </w:t>
      </w:r>
    </w:p>
    <w:p w14:paraId="77386615" w14:textId="77ED5FB0" w:rsidR="00552128" w:rsidRPr="007C5A96" w:rsidRDefault="007B404E" w:rsidP="007B404E">
      <w:pPr>
        <w:spacing w:line="0" w:lineRule="atLeast"/>
        <w:jc w:val="both"/>
      </w:pPr>
      <w:r w:rsidRPr="007C5A96">
        <w:t xml:space="preserve">Lesson Study </w:t>
      </w:r>
      <w:r w:rsidR="00B369C6">
        <w:t xml:space="preserve">could be an effective approach </w:t>
      </w:r>
      <w:r w:rsidRPr="007C5A96">
        <w:t xml:space="preserve">to develop metacognitive teaching strategies </w:t>
      </w:r>
      <w:r w:rsidR="00B369C6">
        <w:t>to</w:t>
      </w:r>
      <w:r w:rsidRPr="007C5A96">
        <w:t xml:space="preserve"> address the challenge </w:t>
      </w:r>
      <w:r w:rsidR="00B369C6">
        <w:t>of</w:t>
      </w:r>
      <w:r w:rsidRPr="007C5A96">
        <w:t xml:space="preserve"> implementing the Learning to Learn 2.0+ curriculum.</w:t>
      </w:r>
    </w:p>
    <w:p w14:paraId="057B04A6" w14:textId="77777777" w:rsidR="007B404E" w:rsidRPr="007C5A96" w:rsidRDefault="007B404E" w:rsidP="00BF7D09">
      <w:pPr>
        <w:spacing w:line="0" w:lineRule="atLeast"/>
      </w:pPr>
    </w:p>
    <w:p w14:paraId="4F49A8B6" w14:textId="455F5CD5" w:rsidR="00957907" w:rsidRPr="007C5A96" w:rsidRDefault="00957907" w:rsidP="00BF7D09">
      <w:pPr>
        <w:spacing w:line="0" w:lineRule="atLeast"/>
      </w:pPr>
      <w:r w:rsidRPr="007C5A96">
        <w:t xml:space="preserve">Originality/value </w:t>
      </w:r>
    </w:p>
    <w:p w14:paraId="73D30357" w14:textId="2313C5B2" w:rsidR="0055396E" w:rsidRPr="007C5A96" w:rsidRDefault="00B369C6" w:rsidP="0055396E">
      <w:pPr>
        <w:spacing w:line="0" w:lineRule="atLeast"/>
        <w:jc w:val="both"/>
      </w:pPr>
      <w:r>
        <w:t>This study sheds light on crafting m</w:t>
      </w:r>
      <w:r w:rsidR="00552128" w:rsidRPr="007C5A96">
        <w:t xml:space="preserve">etacognitive teaching strategies </w:t>
      </w:r>
      <w:r>
        <w:t xml:space="preserve">through Lesson Study </w:t>
      </w:r>
      <w:r w:rsidRPr="007C5A96">
        <w:t>in teacher education</w:t>
      </w:r>
      <w:r>
        <w:t xml:space="preserve"> </w:t>
      </w:r>
      <w:proofErr w:type="gramStart"/>
      <w:r w:rsidR="009559B6">
        <w:t xml:space="preserve">so as </w:t>
      </w:r>
      <w:r>
        <w:t>to</w:t>
      </w:r>
      <w:proofErr w:type="gramEnd"/>
      <w:r>
        <w:t xml:space="preserve"> </w:t>
      </w:r>
      <w:r w:rsidR="00552128" w:rsidRPr="007C5A96">
        <w:t xml:space="preserve">address </w:t>
      </w:r>
      <w:r w:rsidR="004B2E45" w:rsidRPr="007C5A96">
        <w:t xml:space="preserve">the </w:t>
      </w:r>
      <w:r w:rsidR="00552128" w:rsidRPr="007C5A96">
        <w:t>Learning to Learn curriculums</w:t>
      </w:r>
      <w:r w:rsidR="006D3C28" w:rsidRPr="007C5A96">
        <w:t>.</w:t>
      </w:r>
      <w:r w:rsidR="0055396E" w:rsidRPr="007C5A96">
        <w:t xml:space="preserve"> </w:t>
      </w:r>
      <w:r>
        <w:t xml:space="preserve">It </w:t>
      </w:r>
      <w:r w:rsidR="009559B6">
        <w:t>also brings</w:t>
      </w:r>
      <w:r>
        <w:t xml:space="preserve"> in a new research dimension of teacher’s regulation of cognition </w:t>
      </w:r>
      <w:r w:rsidRPr="007C5A96">
        <w:t xml:space="preserve">for </w:t>
      </w:r>
      <w:r w:rsidR="009559B6">
        <w:t xml:space="preserve">learning </w:t>
      </w:r>
      <w:r w:rsidRPr="007C5A96">
        <w:t>instruction</w:t>
      </w:r>
      <w:r>
        <w:t>al</w:t>
      </w:r>
      <w:r w:rsidRPr="007C5A96">
        <w:t xml:space="preserve"> design </w:t>
      </w:r>
      <w:r w:rsidR="009559B6">
        <w:t>in</w:t>
      </w:r>
      <w:r>
        <w:t>to the Lesson Study communities</w:t>
      </w:r>
      <w:r w:rsidR="009559B6">
        <w:t>.</w:t>
      </w:r>
      <w:r w:rsidR="0055396E" w:rsidRPr="007C5A96">
        <w:t xml:space="preserve"> </w:t>
      </w:r>
    </w:p>
    <w:p w14:paraId="73DAE32D" w14:textId="77777777" w:rsidR="0055396E" w:rsidRPr="007C5A96" w:rsidRDefault="0055396E" w:rsidP="00BF7D09">
      <w:pPr>
        <w:spacing w:line="0" w:lineRule="atLeast"/>
      </w:pPr>
    </w:p>
    <w:p w14:paraId="68F37283" w14:textId="0D9EAC8B" w:rsidR="00957907" w:rsidRPr="007C5A96" w:rsidRDefault="00C26EA1" w:rsidP="00BF7D09">
      <w:pPr>
        <w:spacing w:line="0" w:lineRule="atLeast"/>
      </w:pPr>
      <w:r w:rsidRPr="007C5A96">
        <w:t xml:space="preserve">Keywords: </w:t>
      </w:r>
      <w:r w:rsidR="00957907" w:rsidRPr="007C5A96">
        <w:t xml:space="preserve">Lesson Study, Metacognitive </w:t>
      </w:r>
      <w:r w:rsidR="009559B6">
        <w:t>T</w:t>
      </w:r>
      <w:r w:rsidR="00957907" w:rsidRPr="007C5A96">
        <w:t xml:space="preserve">eaching, Metacognition, School </w:t>
      </w:r>
      <w:r w:rsidR="009559B6">
        <w:t>P</w:t>
      </w:r>
      <w:r w:rsidR="00957907" w:rsidRPr="007C5A96">
        <w:t xml:space="preserve">artnership </w:t>
      </w:r>
      <w:r w:rsidR="009559B6">
        <w:t>M</w:t>
      </w:r>
      <w:r w:rsidR="00957907" w:rsidRPr="007C5A96">
        <w:t>odel, Learning to Learn 2.0</w:t>
      </w:r>
      <w:r w:rsidR="009559B6">
        <w:t>+</w:t>
      </w:r>
      <w:r w:rsidR="00957907" w:rsidRPr="007C5A96">
        <w:t xml:space="preserve"> </w:t>
      </w:r>
      <w:r w:rsidR="009559B6">
        <w:t>C</w:t>
      </w:r>
      <w:r w:rsidR="00957907" w:rsidRPr="007C5A96">
        <w:t>urriculum</w:t>
      </w:r>
    </w:p>
    <w:p w14:paraId="5E7CEB59" w14:textId="77777777" w:rsidR="00957907" w:rsidRPr="007C5A96" w:rsidRDefault="00957907" w:rsidP="00BF7D09">
      <w:pPr>
        <w:spacing w:line="0" w:lineRule="atLeast"/>
      </w:pPr>
    </w:p>
    <w:p w14:paraId="44FD55A7" w14:textId="41CB6DA6" w:rsidR="007620FB" w:rsidRPr="003E0574" w:rsidRDefault="007620FB" w:rsidP="006342F1">
      <w:pPr>
        <w:spacing w:line="0" w:lineRule="atLeast"/>
        <w:rPr>
          <w:b/>
          <w:bCs/>
        </w:rPr>
      </w:pPr>
      <w:r w:rsidRPr="007C5A96">
        <w:br w:type="page"/>
      </w:r>
      <w:r w:rsidRPr="003E0574">
        <w:rPr>
          <w:b/>
          <w:bCs/>
        </w:rPr>
        <w:lastRenderedPageBreak/>
        <w:t xml:space="preserve">Introduction </w:t>
      </w:r>
    </w:p>
    <w:p w14:paraId="45CBC973" w14:textId="2BC5F541" w:rsidR="00F47279" w:rsidRPr="007C5A96" w:rsidRDefault="00624AEC" w:rsidP="00F47279">
      <w:pPr>
        <w:spacing w:line="0" w:lineRule="atLeast"/>
        <w:ind w:firstLine="480"/>
        <w:jc w:val="both"/>
      </w:pPr>
      <w:r w:rsidRPr="007C5A96">
        <w:t>Th</w:t>
      </w:r>
      <w:r w:rsidR="00993AF6" w:rsidRPr="007C5A96">
        <w:t>is paper discusses</w:t>
      </w:r>
      <w:r w:rsidRPr="007C5A96">
        <w:t xml:space="preserve"> </w:t>
      </w:r>
      <w:r w:rsidR="00993AF6" w:rsidRPr="007C5A96">
        <w:t>the application of</w:t>
      </w:r>
      <w:r w:rsidRPr="007C5A96">
        <w:t xml:space="preserve"> Lesson Study </w:t>
      </w:r>
      <w:r w:rsidR="00723321" w:rsidRPr="007C5A96">
        <w:t xml:space="preserve">approach </w:t>
      </w:r>
      <w:r w:rsidR="00F34338" w:rsidRPr="007C5A96">
        <w:t xml:space="preserve">in </w:t>
      </w:r>
      <w:r w:rsidR="00C26EA1" w:rsidRPr="007C5A96">
        <w:t>teacher</w:t>
      </w:r>
      <w:r w:rsidR="00723321" w:rsidRPr="007C5A96">
        <w:t xml:space="preserve"> education </w:t>
      </w:r>
      <w:r w:rsidR="00F34338" w:rsidRPr="007C5A96">
        <w:t xml:space="preserve">programme </w:t>
      </w:r>
      <w:r w:rsidRPr="007C5A96">
        <w:t xml:space="preserve">to enhance pre-service teachers’ metacognitive teaching </w:t>
      </w:r>
      <w:r w:rsidR="007B404E" w:rsidRPr="00B66343">
        <w:t>knowledge and skills</w:t>
      </w:r>
      <w:r w:rsidRPr="00B66343">
        <w:t xml:space="preserve"> with a view to tackling the impacts and challenges created by and underlying the Learning to Learn 2.0</w:t>
      </w:r>
      <w:r w:rsidR="00F47279" w:rsidRPr="00B66343">
        <w:t xml:space="preserve">+ </w:t>
      </w:r>
      <w:r w:rsidRPr="00B66343">
        <w:t>curriculum</w:t>
      </w:r>
      <w:r w:rsidR="00FC5B1B" w:rsidRPr="00B66343">
        <w:t xml:space="preserve"> in Hong Kong</w:t>
      </w:r>
      <w:r w:rsidR="00F9125C" w:rsidRPr="00B66343">
        <w:t xml:space="preserve"> </w:t>
      </w:r>
      <w:r w:rsidR="00976F1D" w:rsidRPr="00B66343">
        <w:t>(Curriculum Development Council</w:t>
      </w:r>
      <w:r w:rsidR="00F9125C" w:rsidRPr="00B66343">
        <w:t>, 2015)</w:t>
      </w:r>
      <w:r w:rsidRPr="00B66343">
        <w:t xml:space="preserve">. </w:t>
      </w:r>
      <w:r w:rsidR="00231F58" w:rsidRPr="00B66343">
        <w:t xml:space="preserve">Since the introduction of the </w:t>
      </w:r>
      <w:r w:rsidR="00F9125C" w:rsidRPr="00B66343">
        <w:t>Learning to Learn curriculum around the world</w:t>
      </w:r>
      <w:r w:rsidR="00231F58" w:rsidRPr="00B66343">
        <w:t>, metacognitive teaching has come to the forefront as an innovative research agenda in teacher education</w:t>
      </w:r>
      <w:r w:rsidR="00F9125C" w:rsidRPr="00B66343">
        <w:t xml:space="preserve"> (</w:t>
      </w:r>
      <w:proofErr w:type="spellStart"/>
      <w:r w:rsidR="003E0574" w:rsidRPr="00B66343">
        <w:t>Iksan</w:t>
      </w:r>
      <w:proofErr w:type="spellEnd"/>
      <w:r w:rsidR="003E0574" w:rsidRPr="00B66343">
        <w:t xml:space="preserve">, Nor, &amp; Nor, 2014; </w:t>
      </w:r>
      <w:r w:rsidR="00091818" w:rsidRPr="00B66343">
        <w:t xml:space="preserve">Martin, &amp; </w:t>
      </w:r>
      <w:r w:rsidR="00D51BB1" w:rsidRPr="00B66343">
        <w:t>Clerc-Georgy</w:t>
      </w:r>
      <w:r w:rsidR="00091818" w:rsidRPr="00B66343">
        <w:t xml:space="preserve">, </w:t>
      </w:r>
      <w:r w:rsidR="001218B5" w:rsidRPr="00B66343">
        <w:t>2015</w:t>
      </w:r>
      <w:r w:rsidR="00D51BB1" w:rsidRPr="00B66343">
        <w:t xml:space="preserve">; </w:t>
      </w:r>
      <w:r w:rsidR="0073177B" w:rsidRPr="00B66343">
        <w:t>Zhou, Xu &amp; Martinovic 2017</w:t>
      </w:r>
      <w:r w:rsidR="003E0574">
        <w:t xml:space="preserve">; </w:t>
      </w:r>
      <w:r w:rsidR="003E0574" w:rsidRPr="003E0574">
        <w:t>Moghaddam</w:t>
      </w:r>
      <w:r w:rsidR="003E0574">
        <w:t xml:space="preserve"> et.al 2020</w:t>
      </w:r>
      <w:r w:rsidR="00F9125C" w:rsidRPr="00B66343">
        <w:t>)</w:t>
      </w:r>
      <w:r w:rsidR="00231F58" w:rsidRPr="00B66343">
        <w:t>. The key concept underpinning</w:t>
      </w:r>
      <w:r w:rsidR="00231F58" w:rsidRPr="007C5A96">
        <w:t xml:space="preserve"> Learning to Learn 2.0</w:t>
      </w:r>
      <w:r w:rsidR="00F47279" w:rsidRPr="007C5A96">
        <w:t>+</w:t>
      </w:r>
      <w:r w:rsidR="00231F58" w:rsidRPr="007C5A96">
        <w:t xml:space="preserve"> is that of teachers developing students’ generic skills including decision making, planning, and problem solving. </w:t>
      </w:r>
      <w:r w:rsidR="00F47279" w:rsidRPr="007C5A96">
        <w:t xml:space="preserve">All these skills can be conceptualized as metacognitive skills. The curriculum consists of a wide range of elements including science, technology, </w:t>
      </w:r>
      <w:proofErr w:type="gramStart"/>
      <w:r w:rsidR="00F47279" w:rsidRPr="007C5A96">
        <w:t>engineering</w:t>
      </w:r>
      <w:proofErr w:type="gramEnd"/>
      <w:r w:rsidR="00F47279" w:rsidRPr="007C5A96">
        <w:t xml:space="preserve"> and mathematics (STEM) education, information literacy, </w:t>
      </w:r>
      <w:r w:rsidR="00C801C6" w:rsidRPr="007C5A96">
        <w:t>l</w:t>
      </w:r>
      <w:r w:rsidR="00F47279" w:rsidRPr="007C5A96">
        <w:t xml:space="preserve">anguage across the curriculum, values education, and e-learning (Curriculum Development Council, 2015, p.6). It is suggested that schools implement these curriculums with a view to enhancing the metacognitive capabilities of students for achieving life-long learning. However, the recently implemented Learning to Learn 2.0+ curriculum in Hong Kong has caused positive challenges and impacts on the </w:t>
      </w:r>
      <w:r w:rsidR="00F47279" w:rsidRPr="00B66343">
        <w:t>curriculum implementation and instructional design in Hong Kong schools. (Curriculum Development Council, 2015</w:t>
      </w:r>
      <w:r w:rsidR="00FD471B" w:rsidRPr="00B66343">
        <w:t>,</w:t>
      </w:r>
      <w:r w:rsidR="00F47279" w:rsidRPr="00B66343">
        <w:t xml:space="preserve"> 2017).</w:t>
      </w:r>
      <w:r w:rsidR="004251C9" w:rsidRPr="00B66343">
        <w:t xml:space="preserve"> </w:t>
      </w:r>
      <w:r w:rsidR="00F47279" w:rsidRPr="00B66343">
        <w:t>Developing and maintaining the professional competency of teachers has been shown to be a critical factor for successful curriculum reform (</w:t>
      </w:r>
      <w:r w:rsidR="00993AF6" w:rsidRPr="00B66343">
        <w:t>Cheng</w:t>
      </w:r>
      <w:r w:rsidR="00827484" w:rsidRPr="00B66343">
        <w:t>,</w:t>
      </w:r>
      <w:r w:rsidR="00993AF6" w:rsidRPr="00B66343">
        <w:t xml:space="preserve"> 201</w:t>
      </w:r>
      <w:r w:rsidR="003B5771" w:rsidRPr="00B66343">
        <w:t>7</w:t>
      </w:r>
      <w:r w:rsidR="00661516" w:rsidRPr="00B66343">
        <w:t xml:space="preserve">; </w:t>
      </w:r>
      <w:r w:rsidR="00827484" w:rsidRPr="00B66343">
        <w:t>Connolly &amp;</w:t>
      </w:r>
      <w:r w:rsidR="00F47279" w:rsidRPr="00B66343">
        <w:t xml:space="preserve"> Chris</w:t>
      </w:r>
      <w:r w:rsidR="00827484" w:rsidRPr="00B66343">
        <w:t>,</w:t>
      </w:r>
      <w:r w:rsidR="00F47279" w:rsidRPr="00B66343">
        <w:t xml:space="preserve"> 1998). Lesson Study </w:t>
      </w:r>
      <w:r w:rsidR="007B404E" w:rsidRPr="00B66343">
        <w:t xml:space="preserve">can be an appropriate approach </w:t>
      </w:r>
      <w:r w:rsidR="00F47279" w:rsidRPr="00B66343">
        <w:t>to support teachers to acquire such knowledge and skills – if they successfully implement the Learning to Learn 2.0+ curriculum (Cheng &amp; Lee</w:t>
      </w:r>
      <w:r w:rsidR="00827484" w:rsidRPr="00B66343">
        <w:t>,</w:t>
      </w:r>
      <w:r w:rsidR="00F47279" w:rsidRPr="00B66343">
        <w:t xml:space="preserve"> 2019).</w:t>
      </w:r>
      <w:r w:rsidR="003D1990" w:rsidRPr="007C5A96">
        <w:t xml:space="preserve"> </w:t>
      </w:r>
    </w:p>
    <w:p w14:paraId="35FC1C31" w14:textId="77777777" w:rsidR="00F47279" w:rsidRPr="007C5A96" w:rsidRDefault="00F47279" w:rsidP="00BF7D09">
      <w:pPr>
        <w:spacing w:line="0" w:lineRule="atLeast"/>
        <w:ind w:firstLine="480"/>
        <w:jc w:val="both"/>
      </w:pPr>
    </w:p>
    <w:p w14:paraId="226DDB62" w14:textId="77777777" w:rsidR="003E0574" w:rsidRDefault="003E0574" w:rsidP="00C81A0A">
      <w:pPr>
        <w:spacing w:line="260" w:lineRule="exact"/>
        <w:ind w:firstLine="482"/>
        <w:jc w:val="both"/>
      </w:pPr>
      <w:r>
        <w:t xml:space="preserve">Metacognition is a monitoring mechanism of cognition. </w:t>
      </w:r>
      <w:r w:rsidR="00282654" w:rsidRPr="007C5A96">
        <w:t xml:space="preserve">Cognition deals with mental processes </w:t>
      </w:r>
      <w:r w:rsidR="00282654">
        <w:t>like</w:t>
      </w:r>
      <w:r w:rsidR="00282654" w:rsidRPr="007C5A96">
        <w:t xml:space="preserve"> memory, learning, problem-solving, attention and decision making, </w:t>
      </w:r>
      <w:r w:rsidR="00282654">
        <w:t xml:space="preserve">such </w:t>
      </w:r>
      <w:r w:rsidR="00282654" w:rsidRPr="007C5A96">
        <w:t xml:space="preserve">processes help </w:t>
      </w:r>
      <w:r w:rsidR="008E5FD3">
        <w:t>learners to</w:t>
      </w:r>
      <w:r w:rsidR="00282654" w:rsidRPr="007C5A96">
        <w:t xml:space="preserve"> generate new knowledge and to use the knowledge they </w:t>
      </w:r>
      <w:r w:rsidR="00282654">
        <w:t xml:space="preserve">have </w:t>
      </w:r>
      <w:r w:rsidR="00282654" w:rsidRPr="007C5A96">
        <w:t xml:space="preserve">already </w:t>
      </w:r>
      <w:r w:rsidR="00282654">
        <w:t>internationalized</w:t>
      </w:r>
      <w:r w:rsidR="00282654" w:rsidRPr="007C5A96">
        <w:t xml:space="preserve">. Metacognition gives a </w:t>
      </w:r>
      <w:r w:rsidR="008E5FD3">
        <w:t>learner</w:t>
      </w:r>
      <w:r w:rsidR="00282654" w:rsidRPr="007C5A96">
        <w:t xml:space="preserve"> active control over his cognition</w:t>
      </w:r>
      <w:r w:rsidR="00282654">
        <w:t xml:space="preserve"> and is a process</w:t>
      </w:r>
      <w:r w:rsidR="00282654" w:rsidRPr="00282654">
        <w:t xml:space="preserve"> </w:t>
      </w:r>
      <w:r w:rsidR="00282654">
        <w:t xml:space="preserve">of cognition, and therefore it is </w:t>
      </w:r>
      <w:r w:rsidR="00282654" w:rsidRPr="007C5A96">
        <w:t>thinking about thinking.</w:t>
      </w:r>
      <w:r w:rsidR="008E5FD3">
        <w:t xml:space="preserve"> With an effective control of </w:t>
      </w:r>
      <w:r w:rsidR="008E5FD3" w:rsidRPr="007C5A96">
        <w:t>metacognition</w:t>
      </w:r>
      <w:r w:rsidR="008E5FD3">
        <w:t>, learners’</w:t>
      </w:r>
      <w:r w:rsidR="00BD0C52" w:rsidRPr="007C5A96">
        <w:t xml:space="preserve"> academic achievement and their adaptability</w:t>
      </w:r>
      <w:r w:rsidR="008E5FD3">
        <w:t xml:space="preserve"> can be enhanced</w:t>
      </w:r>
      <w:r w:rsidR="00BD0C52" w:rsidRPr="007C5A96">
        <w:t xml:space="preserve">. </w:t>
      </w:r>
      <w:r w:rsidR="004251C9" w:rsidRPr="007C5A96">
        <w:t>Metacognition is</w:t>
      </w:r>
      <w:r w:rsidR="003D1990" w:rsidRPr="007C5A96">
        <w:t xml:space="preserve"> the abilities of</w:t>
      </w:r>
      <w:r w:rsidR="004251C9" w:rsidRPr="007C5A96">
        <w:t xml:space="preserve"> learners </w:t>
      </w:r>
      <w:r w:rsidR="003D1990" w:rsidRPr="007C5A96">
        <w:t xml:space="preserve">to </w:t>
      </w:r>
      <w:r w:rsidR="004251C9" w:rsidRPr="007C5A96">
        <w:t>monitor and control their cognitive process (Young &amp; Fry, 2008)</w:t>
      </w:r>
      <w:r w:rsidR="003D1990" w:rsidRPr="007C5A96">
        <w:t xml:space="preserve"> for </w:t>
      </w:r>
      <w:r w:rsidR="004251C9" w:rsidRPr="007C5A96">
        <w:t>improv</w:t>
      </w:r>
      <w:r w:rsidR="003D1990" w:rsidRPr="007C5A96">
        <w:t>ing</w:t>
      </w:r>
      <w:r w:rsidR="004251C9" w:rsidRPr="007C5A96">
        <w:t xml:space="preserve"> academic achievements (</w:t>
      </w:r>
      <w:r w:rsidR="008F5B55">
        <w:t>van de</w:t>
      </w:r>
      <w:r w:rsidR="00C81A0A">
        <w:t>r</w:t>
      </w:r>
      <w:r w:rsidR="008F5B55">
        <w:t xml:space="preserve"> </w:t>
      </w:r>
      <w:proofErr w:type="spellStart"/>
      <w:r w:rsidR="008F5B55">
        <w:t>Stel</w:t>
      </w:r>
      <w:proofErr w:type="spellEnd"/>
      <w:r w:rsidR="008F5B55">
        <w:t xml:space="preserve"> &amp; </w:t>
      </w:r>
      <w:proofErr w:type="spellStart"/>
      <w:r w:rsidR="004251C9" w:rsidRPr="007C5A96">
        <w:t>Veenman</w:t>
      </w:r>
      <w:proofErr w:type="spellEnd"/>
      <w:r w:rsidR="00E4348C" w:rsidRPr="007C5A96">
        <w:t>,</w:t>
      </w:r>
      <w:r w:rsidR="004251C9" w:rsidRPr="007C5A96">
        <w:t xml:space="preserve"> 2014; Tanner</w:t>
      </w:r>
      <w:r w:rsidR="006E04F9" w:rsidRPr="007C5A96">
        <w:t>,</w:t>
      </w:r>
      <w:r w:rsidR="004251C9" w:rsidRPr="007C5A96">
        <w:t xml:space="preserve"> 2012), foster</w:t>
      </w:r>
      <w:r w:rsidR="003D1990" w:rsidRPr="007C5A96">
        <w:t>ing</w:t>
      </w:r>
      <w:r w:rsidR="004251C9" w:rsidRPr="007C5A96">
        <w:t xml:space="preserve"> reading and comprehension skills (Reeve &amp; Brown</w:t>
      </w:r>
      <w:r w:rsidR="00E96F9B" w:rsidRPr="007C5A96">
        <w:t>,</w:t>
      </w:r>
      <w:r w:rsidR="003D55D7" w:rsidRPr="007C5A96">
        <w:t xml:space="preserve"> </w:t>
      </w:r>
      <w:r w:rsidR="004251C9" w:rsidRPr="007C5A96">
        <w:t>1984), advanc</w:t>
      </w:r>
      <w:r w:rsidR="003D1990" w:rsidRPr="007C5A96">
        <w:t>ing</w:t>
      </w:r>
      <w:r w:rsidR="004251C9" w:rsidRPr="007C5A96">
        <w:t xml:space="preserve"> students’ critical thinking skills (Ku &amp; Ho</w:t>
      </w:r>
      <w:r w:rsidR="00E96F9B" w:rsidRPr="007C5A96">
        <w:t>,</w:t>
      </w:r>
      <w:r w:rsidR="004251C9" w:rsidRPr="007C5A96">
        <w:t xml:space="preserve"> 2010</w:t>
      </w:r>
      <w:r w:rsidR="007F6E36" w:rsidRPr="007C5A96">
        <w:t>) and</w:t>
      </w:r>
      <w:r w:rsidR="003D1990" w:rsidRPr="007C5A96">
        <w:t xml:space="preserve"> </w:t>
      </w:r>
      <w:r w:rsidR="004251C9" w:rsidRPr="007C5A96">
        <w:t>enhanc</w:t>
      </w:r>
      <w:r w:rsidR="007F6E36" w:rsidRPr="007C5A96">
        <w:t>ing</w:t>
      </w:r>
      <w:r w:rsidR="004251C9" w:rsidRPr="007C5A96">
        <w:t xml:space="preserve"> problem solving and mathematical skills (</w:t>
      </w:r>
      <w:r w:rsidR="00B66343">
        <w:t xml:space="preserve">Schraw, 1998; </w:t>
      </w:r>
      <w:proofErr w:type="spellStart"/>
      <w:r w:rsidR="00B66343" w:rsidRPr="00B66343">
        <w:t>Kramarski</w:t>
      </w:r>
      <w:proofErr w:type="spellEnd"/>
      <w:r w:rsidR="00B66343" w:rsidRPr="00B66343">
        <w:t xml:space="preserve">, </w:t>
      </w:r>
      <w:proofErr w:type="spellStart"/>
      <w:r w:rsidR="00B66343" w:rsidRPr="00B66343">
        <w:t>Mevarech</w:t>
      </w:r>
      <w:proofErr w:type="spellEnd"/>
      <w:r w:rsidR="00B66343" w:rsidRPr="00B66343">
        <w:t xml:space="preserve">, &amp; </w:t>
      </w:r>
      <w:proofErr w:type="spellStart"/>
      <w:r w:rsidR="00B66343" w:rsidRPr="00B66343">
        <w:t>Arami</w:t>
      </w:r>
      <w:proofErr w:type="spellEnd"/>
      <w:r w:rsidR="00B66343" w:rsidRPr="00B66343">
        <w:t>, 2002</w:t>
      </w:r>
      <w:r w:rsidR="004251C9" w:rsidRPr="007C5A96">
        <w:t>)</w:t>
      </w:r>
      <w:r w:rsidR="00993AF6" w:rsidRPr="007C5A96">
        <w:t>. Metacognition</w:t>
      </w:r>
      <w:r w:rsidR="004251C9" w:rsidRPr="007C5A96">
        <w:t xml:space="preserve"> outweighed intelligence as a predictor of mathematics learning performance (Schneider </w:t>
      </w:r>
      <w:r w:rsidR="003D55D7" w:rsidRPr="007C5A96">
        <w:t>&amp;</w:t>
      </w:r>
      <w:r w:rsidR="004251C9" w:rsidRPr="007C5A96">
        <w:t xml:space="preserve"> </w:t>
      </w:r>
      <w:proofErr w:type="spellStart"/>
      <w:r w:rsidR="004251C9" w:rsidRPr="007C5A96">
        <w:t>Artelt</w:t>
      </w:r>
      <w:proofErr w:type="spellEnd"/>
      <w:r w:rsidR="0071102D" w:rsidRPr="007C5A96">
        <w:t>,</w:t>
      </w:r>
      <w:r w:rsidR="004251C9" w:rsidRPr="007C5A96">
        <w:t xml:space="preserve"> 2010) </w:t>
      </w:r>
      <w:r w:rsidR="00993AF6" w:rsidRPr="007C5A96">
        <w:t>and</w:t>
      </w:r>
      <w:r w:rsidR="004251C9" w:rsidRPr="007C5A96">
        <w:t xml:space="preserve"> is positively related to self-regulated learning, independent learning, and self-management (Backer, </w:t>
      </w:r>
      <w:proofErr w:type="spellStart"/>
      <w:r w:rsidR="004251C9" w:rsidRPr="007C5A96">
        <w:t>Keer</w:t>
      </w:r>
      <w:proofErr w:type="spellEnd"/>
      <w:r w:rsidR="004251C9" w:rsidRPr="007C5A96">
        <w:t xml:space="preserve"> &amp; Valcke</w:t>
      </w:r>
      <w:r w:rsidR="0071102D" w:rsidRPr="007C5A96">
        <w:t>,</w:t>
      </w:r>
      <w:r w:rsidR="004251C9" w:rsidRPr="007C5A96">
        <w:t xml:space="preserve"> 2015). </w:t>
      </w:r>
    </w:p>
    <w:p w14:paraId="1216DC38" w14:textId="77777777" w:rsidR="003E0574" w:rsidRDefault="003E0574" w:rsidP="00C81A0A">
      <w:pPr>
        <w:spacing w:line="260" w:lineRule="exact"/>
        <w:ind w:firstLine="482"/>
        <w:jc w:val="both"/>
      </w:pPr>
    </w:p>
    <w:p w14:paraId="0B2D5B55" w14:textId="2155B055" w:rsidR="007471D4" w:rsidRPr="007C5A96" w:rsidRDefault="003E0574" w:rsidP="003E0574">
      <w:pPr>
        <w:spacing w:line="260" w:lineRule="exact"/>
        <w:ind w:firstLine="482"/>
        <w:jc w:val="both"/>
        <w:rPr>
          <w:color w:val="000000" w:themeColor="text1"/>
        </w:rPr>
      </w:pPr>
      <w:r>
        <w:t>M</w:t>
      </w:r>
      <w:r w:rsidRPr="00B66343">
        <w:t xml:space="preserve">etacognitive knowledge and skills can be taught (Flavell, 1979; Reeve &amp; Brown, 1984). </w:t>
      </w:r>
      <w:r>
        <w:t>Literature shows that m</w:t>
      </w:r>
      <w:r w:rsidR="004251C9" w:rsidRPr="00B66343">
        <w:t xml:space="preserve">etacognitive </w:t>
      </w:r>
      <w:r w:rsidR="007F6E36" w:rsidRPr="00B66343">
        <w:t xml:space="preserve">abilities can be developed </w:t>
      </w:r>
      <w:r w:rsidR="004251C9" w:rsidRPr="00B66343">
        <w:t>through</w:t>
      </w:r>
      <w:r w:rsidR="007F6E36" w:rsidRPr="00B66343">
        <w:t xml:space="preserve"> </w:t>
      </w:r>
      <w:r w:rsidR="003D1990" w:rsidRPr="00B66343">
        <w:t xml:space="preserve">learning </w:t>
      </w:r>
      <w:r w:rsidR="004251C9" w:rsidRPr="00B66343">
        <w:t>experiences (</w:t>
      </w:r>
      <w:proofErr w:type="spellStart"/>
      <w:r w:rsidR="004251C9" w:rsidRPr="00B66343">
        <w:t>Pintrich</w:t>
      </w:r>
      <w:proofErr w:type="spellEnd"/>
      <w:r w:rsidR="00BB3D01" w:rsidRPr="00B66343">
        <w:t>,</w:t>
      </w:r>
      <w:r w:rsidR="004251C9" w:rsidRPr="00B66343">
        <w:t xml:space="preserve"> 2002; </w:t>
      </w:r>
      <w:proofErr w:type="spellStart"/>
      <w:r w:rsidR="004251C9" w:rsidRPr="00B66343">
        <w:t>Vee</w:t>
      </w:r>
      <w:r w:rsidR="005A0A38" w:rsidRPr="00B66343">
        <w:t>n</w:t>
      </w:r>
      <w:r w:rsidR="004251C9" w:rsidRPr="00B66343">
        <w:t>man</w:t>
      </w:r>
      <w:proofErr w:type="spellEnd"/>
      <w:r w:rsidR="009A7280" w:rsidRPr="00B66343">
        <w:t xml:space="preserve"> et al.</w:t>
      </w:r>
      <w:r w:rsidR="00BB3D01" w:rsidRPr="00B66343">
        <w:t>,</w:t>
      </w:r>
      <w:r w:rsidR="004251C9" w:rsidRPr="00B66343">
        <w:t xml:space="preserve"> 2006)</w:t>
      </w:r>
      <w:r w:rsidR="007F6E36" w:rsidRPr="00B66343">
        <w:t xml:space="preserve"> with interactions from</w:t>
      </w:r>
      <w:r w:rsidR="004251C9" w:rsidRPr="00B66343">
        <w:t xml:space="preserve"> pe</w:t>
      </w:r>
      <w:r w:rsidR="003D1990" w:rsidRPr="00B66343">
        <w:t xml:space="preserve">ers, </w:t>
      </w:r>
      <w:proofErr w:type="gramStart"/>
      <w:r w:rsidR="003D1990" w:rsidRPr="00B66343">
        <w:t>teachers</w:t>
      </w:r>
      <w:proofErr w:type="gramEnd"/>
      <w:r w:rsidR="004251C9" w:rsidRPr="00B66343">
        <w:t xml:space="preserve"> and </w:t>
      </w:r>
      <w:r w:rsidR="003D1990" w:rsidRPr="00B66343">
        <w:t>parents</w:t>
      </w:r>
      <w:r w:rsidR="004251C9" w:rsidRPr="00B66343">
        <w:t xml:space="preserve">. </w:t>
      </w:r>
      <w:r w:rsidR="00BD5776" w:rsidRPr="00B66343">
        <w:t>Metacognitive teaching strategies are</w:t>
      </w:r>
      <w:r w:rsidR="001748A2" w:rsidRPr="00B66343">
        <w:t xml:space="preserve"> pedagog</w:t>
      </w:r>
      <w:r w:rsidR="00BD5776" w:rsidRPr="00B66343">
        <w:t xml:space="preserve">ies </w:t>
      </w:r>
      <w:r w:rsidR="001748A2" w:rsidRPr="00B66343">
        <w:t>for developing students’ metacognition</w:t>
      </w:r>
      <w:r w:rsidR="00BD5776" w:rsidRPr="00B66343">
        <w:t xml:space="preserve">. </w:t>
      </w:r>
      <w:r w:rsidR="007F6E36" w:rsidRPr="00B66343">
        <w:t>T</w:t>
      </w:r>
      <w:r w:rsidR="00EB21AE" w:rsidRPr="00B66343">
        <w:t xml:space="preserve">eachers’ awareness and regulation to their teaching strategies to address the learner’s need and responses </w:t>
      </w:r>
      <w:r w:rsidR="007F6E36" w:rsidRPr="00B66343">
        <w:t>is critical in metacognitive teaching</w:t>
      </w:r>
      <w:r w:rsidR="009F7043" w:rsidRPr="00B66343">
        <w:t xml:space="preserve"> </w:t>
      </w:r>
      <w:r w:rsidR="00C81A0A" w:rsidRPr="00B66343">
        <w:t xml:space="preserve">(Wall &amp; Hall, 2016; </w:t>
      </w:r>
      <w:proofErr w:type="spellStart"/>
      <w:r w:rsidR="00C81A0A" w:rsidRPr="00B66343">
        <w:t>Soodla</w:t>
      </w:r>
      <w:proofErr w:type="spellEnd"/>
      <w:r w:rsidR="00C81A0A" w:rsidRPr="00B66343">
        <w:t xml:space="preserve">, </w:t>
      </w:r>
      <w:proofErr w:type="spellStart"/>
      <w:r w:rsidR="00C81A0A" w:rsidRPr="00B66343">
        <w:t>Jõgi</w:t>
      </w:r>
      <w:proofErr w:type="spellEnd"/>
      <w:r w:rsidR="00C81A0A" w:rsidRPr="00B66343">
        <w:t xml:space="preserve">, &amp; </w:t>
      </w:r>
      <w:proofErr w:type="spellStart"/>
      <w:r w:rsidR="00C81A0A" w:rsidRPr="00B66343">
        <w:t>Kikas</w:t>
      </w:r>
      <w:proofErr w:type="spellEnd"/>
      <w:r w:rsidR="00C81A0A" w:rsidRPr="00B66343">
        <w:t>, 2017).</w:t>
      </w:r>
      <w:r>
        <w:t xml:space="preserve"> </w:t>
      </w:r>
      <w:r w:rsidR="00CC7CCB" w:rsidRPr="007C5A96">
        <w:t xml:space="preserve">The </w:t>
      </w:r>
      <w:r w:rsidR="007471D4" w:rsidRPr="007C5A96">
        <w:t>argument</w:t>
      </w:r>
      <w:r w:rsidR="00695ADB" w:rsidRPr="007C5A96">
        <w:t>s</w:t>
      </w:r>
      <w:r w:rsidR="007471D4" w:rsidRPr="007C5A96">
        <w:t xml:space="preserve"> for</w:t>
      </w:r>
      <w:r w:rsidR="00CC7CCB" w:rsidRPr="007C5A96">
        <w:t xml:space="preserve"> </w:t>
      </w:r>
      <w:r w:rsidR="00695ADB" w:rsidRPr="007C5A96">
        <w:t>adopting</w:t>
      </w:r>
      <w:r w:rsidR="00CC7CCB" w:rsidRPr="007C5A96">
        <w:t xml:space="preserve"> </w:t>
      </w:r>
      <w:r w:rsidR="00FC5B1B" w:rsidRPr="007C5A96">
        <w:t xml:space="preserve">Lesson Study </w:t>
      </w:r>
      <w:r w:rsidR="007471D4" w:rsidRPr="007C5A96">
        <w:t xml:space="preserve">to </w:t>
      </w:r>
      <w:r w:rsidR="00993AF6" w:rsidRPr="007C5A96">
        <w:t>nurture</w:t>
      </w:r>
      <w:r w:rsidR="00695ADB" w:rsidRPr="007C5A96">
        <w:t xml:space="preserve"> preservice teachers </w:t>
      </w:r>
      <w:r w:rsidR="00D42872" w:rsidRPr="007C5A96">
        <w:t xml:space="preserve">metacognitive </w:t>
      </w:r>
      <w:r w:rsidR="00695ADB" w:rsidRPr="007C5A96">
        <w:t xml:space="preserve">teaching </w:t>
      </w:r>
      <w:r w:rsidR="00993AF6" w:rsidRPr="007C5A96">
        <w:t xml:space="preserve">skills </w:t>
      </w:r>
      <w:r w:rsidR="007471D4" w:rsidRPr="007C5A96">
        <w:t xml:space="preserve">is that </w:t>
      </w:r>
      <w:r w:rsidR="00CC7CCB" w:rsidRPr="007C5A96">
        <w:t xml:space="preserve">Lesson Study </w:t>
      </w:r>
      <w:r w:rsidR="00BD5776" w:rsidRPr="007C5A96">
        <w:t xml:space="preserve">provide a platform to </w:t>
      </w:r>
      <w:r w:rsidR="00530ECF" w:rsidRPr="007C5A96">
        <w:t>enable the teachers to aware the effectiveness of their teaching strategies through c</w:t>
      </w:r>
      <w:r w:rsidR="00FC5B1B" w:rsidRPr="007C5A96">
        <w:t xml:space="preserve">ollaborative </w:t>
      </w:r>
      <w:r w:rsidR="00530ECF" w:rsidRPr="007C5A96">
        <w:t xml:space="preserve">lesson </w:t>
      </w:r>
      <w:r w:rsidR="00FC5B1B" w:rsidRPr="007C5A96">
        <w:t>planning, observing</w:t>
      </w:r>
      <w:r w:rsidR="00CC7CCB" w:rsidRPr="007C5A96">
        <w:t xml:space="preserve"> </w:t>
      </w:r>
      <w:r w:rsidR="00FC5B1B" w:rsidRPr="007C5A96">
        <w:t xml:space="preserve">and reflecting on lessons with specific attention being paid to a selected group of pupils and </w:t>
      </w:r>
      <w:r w:rsidR="001554F5">
        <w:t xml:space="preserve">their learning (Dudley, 2014, </w:t>
      </w:r>
      <w:r w:rsidR="00FC5B1B" w:rsidRPr="007C5A96">
        <w:t>2015)</w:t>
      </w:r>
      <w:r w:rsidR="00CC7CCB" w:rsidRPr="007C5A96">
        <w:t xml:space="preserve">. Such </w:t>
      </w:r>
      <w:r w:rsidR="00FC35F0" w:rsidRPr="007C5A96">
        <w:t xml:space="preserve">process </w:t>
      </w:r>
      <w:r w:rsidR="00FC35F0" w:rsidRPr="007C5A96">
        <w:rPr>
          <w:color w:val="000000" w:themeColor="text1"/>
        </w:rPr>
        <w:t xml:space="preserve">helps </w:t>
      </w:r>
      <w:r w:rsidR="00CC7CCB" w:rsidRPr="007C5A96">
        <w:rPr>
          <w:color w:val="000000" w:themeColor="text1"/>
        </w:rPr>
        <w:t>pre-service</w:t>
      </w:r>
      <w:r w:rsidR="00FC35F0" w:rsidRPr="007C5A96">
        <w:rPr>
          <w:color w:val="000000" w:themeColor="text1"/>
        </w:rPr>
        <w:t xml:space="preserve"> teachers to develop a</w:t>
      </w:r>
      <w:r w:rsidR="00CC7CCB" w:rsidRPr="007C5A96">
        <w:rPr>
          <w:color w:val="000000" w:themeColor="text1"/>
        </w:rPr>
        <w:t xml:space="preserve"> </w:t>
      </w:r>
      <w:r w:rsidR="00FC35F0" w:rsidRPr="007C5A96">
        <w:rPr>
          <w:color w:val="000000" w:themeColor="text1"/>
        </w:rPr>
        <w:t xml:space="preserve">critical perspective on the teaching thinking skills </w:t>
      </w:r>
      <w:r w:rsidR="00DA3413" w:rsidRPr="007C5A96">
        <w:rPr>
          <w:color w:val="000000" w:themeColor="text1"/>
        </w:rPr>
        <w:t xml:space="preserve">to regulate their strategies </w:t>
      </w:r>
      <w:r w:rsidR="00FC35F0" w:rsidRPr="007C5A96">
        <w:rPr>
          <w:color w:val="000000" w:themeColor="text1"/>
        </w:rPr>
        <w:t xml:space="preserve">in </w:t>
      </w:r>
      <w:r w:rsidR="00DA3413" w:rsidRPr="007C5A96">
        <w:rPr>
          <w:color w:val="000000" w:themeColor="text1"/>
        </w:rPr>
        <w:t xml:space="preserve">an </w:t>
      </w:r>
      <w:r w:rsidR="007471D4" w:rsidRPr="007C5A96">
        <w:rPr>
          <w:color w:val="000000" w:themeColor="text1"/>
        </w:rPr>
        <w:t xml:space="preserve">authentic learning </w:t>
      </w:r>
      <w:r w:rsidR="00FC35F0" w:rsidRPr="007C5A96">
        <w:rPr>
          <w:color w:val="000000" w:themeColor="text1"/>
        </w:rPr>
        <w:t>environment</w:t>
      </w:r>
      <w:r w:rsidR="007471D4" w:rsidRPr="007C5A96">
        <w:rPr>
          <w:color w:val="000000" w:themeColor="text1"/>
        </w:rPr>
        <w:t>, which</w:t>
      </w:r>
      <w:r w:rsidR="00FC35F0" w:rsidRPr="007C5A96">
        <w:rPr>
          <w:color w:val="000000" w:themeColor="text1"/>
        </w:rPr>
        <w:t xml:space="preserve"> is driven by the</w:t>
      </w:r>
      <w:r w:rsidR="00BD5776" w:rsidRPr="007C5A96">
        <w:rPr>
          <w:color w:val="000000" w:themeColor="text1"/>
        </w:rPr>
        <w:t>m</w:t>
      </w:r>
      <w:r w:rsidR="00FC35F0" w:rsidRPr="007C5A96">
        <w:rPr>
          <w:color w:val="000000" w:themeColor="text1"/>
        </w:rPr>
        <w:t xml:space="preserve"> and is </w:t>
      </w:r>
      <w:r w:rsidR="00BD6254" w:rsidRPr="007C5A96">
        <w:rPr>
          <w:color w:val="000000" w:themeColor="text1"/>
        </w:rPr>
        <w:t>characterized</w:t>
      </w:r>
      <w:r w:rsidR="00FC35F0" w:rsidRPr="007C5A96">
        <w:rPr>
          <w:color w:val="000000" w:themeColor="text1"/>
        </w:rPr>
        <w:t xml:space="preserve"> by the</w:t>
      </w:r>
      <w:r w:rsidR="00CC7CCB" w:rsidRPr="007C5A96">
        <w:rPr>
          <w:color w:val="000000" w:themeColor="text1"/>
        </w:rPr>
        <w:t xml:space="preserve"> </w:t>
      </w:r>
      <w:r w:rsidR="00FC35F0" w:rsidRPr="007C5A96">
        <w:rPr>
          <w:color w:val="000000" w:themeColor="text1"/>
        </w:rPr>
        <w:t xml:space="preserve">reciprocal sharing of </w:t>
      </w:r>
      <w:r w:rsidR="00BD5776" w:rsidRPr="007C5A96">
        <w:rPr>
          <w:color w:val="000000" w:themeColor="text1"/>
        </w:rPr>
        <w:t xml:space="preserve">teaching </w:t>
      </w:r>
      <w:r w:rsidR="00FC35F0" w:rsidRPr="007C5A96">
        <w:rPr>
          <w:color w:val="000000" w:themeColor="text1"/>
        </w:rPr>
        <w:t xml:space="preserve">ideas and strategies </w:t>
      </w:r>
      <w:r w:rsidR="00BD5776" w:rsidRPr="007C5A96">
        <w:rPr>
          <w:color w:val="000000" w:themeColor="text1"/>
        </w:rPr>
        <w:t xml:space="preserve">for instructional design. </w:t>
      </w:r>
      <w:r w:rsidR="00FC35F0" w:rsidRPr="007C5A96">
        <w:rPr>
          <w:color w:val="000000" w:themeColor="text1"/>
        </w:rPr>
        <w:t xml:space="preserve"> </w:t>
      </w:r>
    </w:p>
    <w:p w14:paraId="025E9679" w14:textId="77777777" w:rsidR="001933D5" w:rsidRPr="007C5A96" w:rsidRDefault="001933D5" w:rsidP="00CC7CCB">
      <w:pPr>
        <w:spacing w:line="0" w:lineRule="atLeast"/>
        <w:ind w:firstLine="480"/>
        <w:jc w:val="both"/>
      </w:pPr>
    </w:p>
    <w:p w14:paraId="7661C4F1" w14:textId="2E81544F" w:rsidR="000A72AB" w:rsidRPr="007C5A96" w:rsidRDefault="00A733A1" w:rsidP="00CC7CCB">
      <w:pPr>
        <w:spacing w:line="0" w:lineRule="atLeast"/>
        <w:ind w:firstLine="480"/>
        <w:jc w:val="both"/>
      </w:pPr>
      <w:r w:rsidRPr="007C5A96">
        <w:t>The study aims</w:t>
      </w:r>
      <w:r w:rsidRPr="007C5A96">
        <w:rPr>
          <w:lang w:eastAsia="zh-HK"/>
        </w:rPr>
        <w:t xml:space="preserve"> </w:t>
      </w:r>
      <w:r w:rsidRPr="007C5A96">
        <w:t xml:space="preserve">to </w:t>
      </w:r>
      <w:r w:rsidR="00DC5E5F" w:rsidRPr="007C5A96">
        <w:t xml:space="preserve">examine the extent to which </w:t>
      </w:r>
      <w:r w:rsidRPr="007C5A96">
        <w:t xml:space="preserve">Lesson Study </w:t>
      </w:r>
      <w:r w:rsidR="009F058E" w:rsidRPr="007C5A96">
        <w:t xml:space="preserve">can </w:t>
      </w:r>
      <w:r w:rsidRPr="007C5A96">
        <w:t>enhance</w:t>
      </w:r>
      <w:r w:rsidR="00DC5E5F" w:rsidRPr="007C5A96">
        <w:t>s</w:t>
      </w:r>
      <w:r w:rsidRPr="007C5A96">
        <w:t xml:space="preserve"> the metacognitive teaching </w:t>
      </w:r>
      <w:r w:rsidR="007F6E36" w:rsidRPr="007C5A96">
        <w:t>skills</w:t>
      </w:r>
      <w:r w:rsidRPr="007C5A96">
        <w:t xml:space="preserve"> of pre-service student teachers</w:t>
      </w:r>
      <w:r w:rsidR="000A72AB" w:rsidRPr="007C5A96">
        <w:t xml:space="preserve"> through a </w:t>
      </w:r>
      <w:r w:rsidR="00F34338" w:rsidRPr="007C5A96">
        <w:t>classroom research course</w:t>
      </w:r>
      <w:r w:rsidR="000A72AB" w:rsidRPr="007C5A96">
        <w:t xml:space="preserve">. The course was </w:t>
      </w:r>
      <w:r w:rsidR="000A72AB" w:rsidRPr="007C5A96">
        <w:lastRenderedPageBreak/>
        <w:t xml:space="preserve">streamlined with a school partnership model that consists of course instructors, teachers from partnership schools and pre-service teachers, which were utilized to provide an authentic learning environment to enhance the metacognitive teaching competence of the pre-service students </w:t>
      </w:r>
      <w:r w:rsidR="00152DF8" w:rsidRPr="007C5A96">
        <w:t xml:space="preserve">in an Education University in Hong Kong. </w:t>
      </w:r>
      <w:r w:rsidR="00DC5E5F" w:rsidRPr="007C5A96">
        <w:t>A series of metacognitive t</w:t>
      </w:r>
      <w:r w:rsidR="00152DF8" w:rsidRPr="007C5A96">
        <w:t xml:space="preserve">eaching strategies </w:t>
      </w:r>
      <w:r w:rsidR="00DC5E5F" w:rsidRPr="007C5A96">
        <w:t xml:space="preserve">were introduced in the course, </w:t>
      </w:r>
      <w:r w:rsidR="000A72AB" w:rsidRPr="007C5A96">
        <w:t xml:space="preserve">self-regulated </w:t>
      </w:r>
      <w:r w:rsidR="00DC5E5F" w:rsidRPr="007C5A96">
        <w:t>strategies</w:t>
      </w:r>
      <w:r w:rsidR="000A72AB" w:rsidRPr="007C5A96">
        <w:t xml:space="preserve"> through</w:t>
      </w:r>
      <w:r w:rsidR="00DC5E5F" w:rsidRPr="007C5A96">
        <w:t xml:space="preserve"> </w:t>
      </w:r>
      <w:r w:rsidR="00152DF8" w:rsidRPr="007C5A96">
        <w:t xml:space="preserve">working on problem-solving activities, </w:t>
      </w:r>
      <w:proofErr w:type="spellStart"/>
      <w:r w:rsidR="00152DF8" w:rsidRPr="007C5A96">
        <w:t>m</w:t>
      </w:r>
      <w:r w:rsidR="000A72AB" w:rsidRPr="007C5A96">
        <w:t>odeling</w:t>
      </w:r>
      <w:proofErr w:type="spellEnd"/>
      <w:r w:rsidR="000A72AB" w:rsidRPr="007C5A96">
        <w:t xml:space="preserve"> and think</w:t>
      </w:r>
      <w:r w:rsidR="00DC5E5F" w:rsidRPr="007C5A96">
        <w:t>-a</w:t>
      </w:r>
      <w:r w:rsidR="000A72AB" w:rsidRPr="007C5A96">
        <w:t xml:space="preserve">loud </w:t>
      </w:r>
      <w:r w:rsidR="00152DF8" w:rsidRPr="007C5A96">
        <w:t>metacognitive and learning strategies explicit, and encouraging students to reflect upon and talk about their learning (</w:t>
      </w:r>
      <w:proofErr w:type="spellStart"/>
      <w:r w:rsidR="00152DF8" w:rsidRPr="007C5A96">
        <w:t>Whitebread</w:t>
      </w:r>
      <w:proofErr w:type="spellEnd"/>
      <w:r w:rsidR="00152DF8" w:rsidRPr="007C5A96">
        <w:t xml:space="preserve"> et al., 2017)</w:t>
      </w:r>
      <w:r w:rsidR="00DC5E5F" w:rsidRPr="007C5A96">
        <w:t>.</w:t>
      </w:r>
      <w:r w:rsidR="00152DF8" w:rsidRPr="007C5A96">
        <w:t xml:space="preserve"> </w:t>
      </w:r>
      <w:r w:rsidR="000A72AB" w:rsidRPr="007C5A96">
        <w:t xml:space="preserve">School principals and teachers </w:t>
      </w:r>
      <w:r w:rsidR="00DC5E5F" w:rsidRPr="007C5A96">
        <w:t>were</w:t>
      </w:r>
      <w:r w:rsidR="000A72AB" w:rsidRPr="007C5A96">
        <w:t xml:space="preserve"> invited as guest lecturers of the </w:t>
      </w:r>
      <w:r w:rsidR="00DC5E5F" w:rsidRPr="007C5A96">
        <w:t xml:space="preserve">course </w:t>
      </w:r>
      <w:r w:rsidR="000A72AB" w:rsidRPr="007C5A96">
        <w:t xml:space="preserve">to bring in </w:t>
      </w:r>
      <w:r w:rsidR="00DC5E5F" w:rsidRPr="007C5A96">
        <w:t>teaching</w:t>
      </w:r>
      <w:r w:rsidR="000A72AB" w:rsidRPr="007C5A96">
        <w:t xml:space="preserve"> experience</w:t>
      </w:r>
      <w:r w:rsidR="00DC5E5F" w:rsidRPr="007C5A96">
        <w:t>s</w:t>
      </w:r>
      <w:r w:rsidR="000A72AB" w:rsidRPr="007C5A96">
        <w:t xml:space="preserve"> in curriculum implementation to</w:t>
      </w:r>
      <w:r w:rsidR="00DC5E5F" w:rsidRPr="007C5A96">
        <w:t xml:space="preserve"> the pre-service </w:t>
      </w:r>
      <w:r w:rsidR="000A72AB" w:rsidRPr="007C5A96">
        <w:t xml:space="preserve">teachers. These experienced practitioners </w:t>
      </w:r>
      <w:r w:rsidR="00252C16" w:rsidRPr="007C5A96">
        <w:t>opened</w:t>
      </w:r>
      <w:r w:rsidR="000A72AB" w:rsidRPr="007C5A96">
        <w:t xml:space="preserve"> some of the classes in their schools </w:t>
      </w:r>
      <w:r w:rsidR="00DC5E5F" w:rsidRPr="007C5A96">
        <w:t>to the preservice</w:t>
      </w:r>
      <w:r w:rsidR="000A72AB" w:rsidRPr="007C5A96">
        <w:t xml:space="preserve"> teachers to carry out lesson implementation</w:t>
      </w:r>
      <w:r w:rsidR="00DC5E5F" w:rsidRPr="007C5A96">
        <w:t>s</w:t>
      </w:r>
      <w:r w:rsidR="000A72AB" w:rsidRPr="007C5A96">
        <w:t xml:space="preserve">. Course instructors, teachers </w:t>
      </w:r>
      <w:proofErr w:type="gramStart"/>
      <w:r w:rsidR="000A72AB" w:rsidRPr="007C5A96">
        <w:t>of</w:t>
      </w:r>
      <w:proofErr w:type="gramEnd"/>
      <w:r w:rsidR="000A72AB" w:rsidRPr="007C5A96">
        <w:t xml:space="preserve"> the partnership schools and </w:t>
      </w:r>
      <w:r w:rsidR="00BD5776" w:rsidRPr="007C5A96">
        <w:t>pre-service</w:t>
      </w:r>
      <w:r w:rsidR="000A72AB" w:rsidRPr="007C5A96">
        <w:t xml:space="preserve"> teachers were conducted Lesson Study to identify the successful metacognitive teaching strategies and skills to implement the Learning to Learn 2.0 + curriculum. </w:t>
      </w:r>
      <w:r w:rsidR="00DC5E5F" w:rsidRPr="007C5A96">
        <w:t>A pre-post</w:t>
      </w:r>
      <w:r w:rsidR="009F058E" w:rsidRPr="007C5A96">
        <w:t xml:space="preserve"> survey </w:t>
      </w:r>
      <w:r w:rsidR="00316D78" w:rsidRPr="007C5A96">
        <w:t xml:space="preserve">on metacognitive teaching </w:t>
      </w:r>
      <w:r w:rsidR="003E0574" w:rsidRPr="007C5A96">
        <w:t>behaviours</w:t>
      </w:r>
      <w:r w:rsidR="00316D78" w:rsidRPr="007C5A96">
        <w:t xml:space="preserve"> </w:t>
      </w:r>
      <w:r w:rsidR="00DC5E5F" w:rsidRPr="007C5A96">
        <w:t xml:space="preserve">were conducted to measure </w:t>
      </w:r>
      <w:r w:rsidR="00316D78" w:rsidRPr="007C5A96">
        <w:t xml:space="preserve">the perceptions of the pre-service teachers on their learning. </w:t>
      </w:r>
      <w:r w:rsidR="0055301C">
        <w:t>Exploratory</w:t>
      </w:r>
      <w:r w:rsidR="00316D78" w:rsidRPr="007C5A96">
        <w:t xml:space="preserve"> factor analysis (</w:t>
      </w:r>
      <w:r w:rsidR="003E0574">
        <w:t>E</w:t>
      </w:r>
      <w:r w:rsidR="00316D78" w:rsidRPr="007C5A96">
        <w:t xml:space="preserve">FA) and reliability test were conducted to validating the constructed validity and the reliability of the instrument. </w:t>
      </w:r>
      <w:r w:rsidR="009F058E" w:rsidRPr="007C5A96">
        <w:t>Modelling thinking process, thought-provoking reflections, reviewing thinking process, enabling self-</w:t>
      </w:r>
      <w:proofErr w:type="gramStart"/>
      <w:r w:rsidR="009F058E" w:rsidRPr="007C5A96">
        <w:t>regulation</w:t>
      </w:r>
      <w:proofErr w:type="gramEnd"/>
      <w:r w:rsidR="009F058E" w:rsidRPr="007C5A96">
        <w:t xml:space="preserve"> and </w:t>
      </w:r>
      <w:r w:rsidR="00BD5776" w:rsidRPr="007C5A96">
        <w:t xml:space="preserve">providing </w:t>
      </w:r>
      <w:r w:rsidR="009F058E" w:rsidRPr="007C5A96">
        <w:t xml:space="preserve">motivational feedback </w:t>
      </w:r>
      <w:r w:rsidR="00316D78" w:rsidRPr="007C5A96">
        <w:t xml:space="preserve">were empirically extracted by the </w:t>
      </w:r>
      <w:r w:rsidR="003E0574">
        <w:t>E</w:t>
      </w:r>
      <w:r w:rsidR="00316D78" w:rsidRPr="007C5A96">
        <w:t>FA</w:t>
      </w:r>
      <w:r w:rsidR="00697B2A" w:rsidRPr="007C5A96">
        <w:t xml:space="preserve">. </w:t>
      </w:r>
      <w:r w:rsidR="00316D78" w:rsidRPr="007C5A96">
        <w:t xml:space="preserve">Results </w:t>
      </w:r>
      <w:r w:rsidR="00697B2A" w:rsidRPr="007C5A96">
        <w:t>of th</w:t>
      </w:r>
      <w:r w:rsidR="00BD5776" w:rsidRPr="007C5A96">
        <w:t>is study</w:t>
      </w:r>
      <w:r w:rsidR="00697B2A" w:rsidRPr="007C5A96">
        <w:t xml:space="preserve"> </w:t>
      </w:r>
      <w:r w:rsidR="00316D78" w:rsidRPr="007C5A96">
        <w:t xml:space="preserve">show that Lesson Study </w:t>
      </w:r>
      <w:r w:rsidR="009F058E" w:rsidRPr="007C5A96">
        <w:t>enhanc</w:t>
      </w:r>
      <w:r w:rsidR="00BD5776" w:rsidRPr="007C5A96">
        <w:t>e</w:t>
      </w:r>
      <w:r w:rsidR="00D00E7C" w:rsidRPr="007C5A96">
        <w:t>s</w:t>
      </w:r>
      <w:r w:rsidR="009F058E" w:rsidRPr="007C5A96">
        <w:t xml:space="preserve"> their teaching </w:t>
      </w:r>
      <w:r w:rsidR="003E0574">
        <w:t xml:space="preserve">knowledge and </w:t>
      </w:r>
      <w:r w:rsidR="009F058E" w:rsidRPr="007C5A96">
        <w:t>skills in modelling thinking process, thought-provoking reflections, review think</w:t>
      </w:r>
      <w:r w:rsidR="00BD5776" w:rsidRPr="007C5A96">
        <w:t xml:space="preserve">ing </w:t>
      </w:r>
      <w:r w:rsidR="009F058E" w:rsidRPr="007C5A96">
        <w:t>process</w:t>
      </w:r>
      <w:r w:rsidR="00D00E7C" w:rsidRPr="007C5A96">
        <w:t xml:space="preserve"> significantly</w:t>
      </w:r>
      <w:r w:rsidR="009F058E" w:rsidRPr="007C5A96">
        <w:t xml:space="preserve">. </w:t>
      </w:r>
    </w:p>
    <w:p w14:paraId="1FCD4671" w14:textId="77777777" w:rsidR="004A06B8" w:rsidRPr="007C5A96" w:rsidRDefault="004A06B8" w:rsidP="004A06B8">
      <w:pPr>
        <w:spacing w:line="0" w:lineRule="atLeast"/>
        <w:jc w:val="both"/>
      </w:pPr>
    </w:p>
    <w:p w14:paraId="21141E51" w14:textId="6430B685" w:rsidR="00A046BD" w:rsidRPr="003E0574" w:rsidRDefault="00231F58" w:rsidP="00BF7D09">
      <w:pPr>
        <w:spacing w:line="0" w:lineRule="atLeast"/>
        <w:rPr>
          <w:b/>
          <w:bCs/>
        </w:rPr>
      </w:pPr>
      <w:r w:rsidRPr="003E0574">
        <w:rPr>
          <w:b/>
          <w:bCs/>
        </w:rPr>
        <w:t>Literature review</w:t>
      </w:r>
    </w:p>
    <w:p w14:paraId="5EAC4699" w14:textId="427FC37F" w:rsidR="003E4783" w:rsidRPr="00B66343" w:rsidRDefault="006E6F4D" w:rsidP="00B546BD">
      <w:pPr>
        <w:spacing w:line="0" w:lineRule="atLeast"/>
        <w:ind w:firstLine="480"/>
        <w:jc w:val="both"/>
        <w:rPr>
          <w:lang w:eastAsia="zh-HK"/>
        </w:rPr>
      </w:pPr>
      <w:r w:rsidRPr="007C5A96">
        <w:rPr>
          <w:lang w:eastAsia="zh-HK"/>
        </w:rPr>
        <w:t xml:space="preserve">Lesson Study </w:t>
      </w:r>
      <w:r w:rsidR="003E0574">
        <w:rPr>
          <w:lang w:eastAsia="zh-HK"/>
        </w:rPr>
        <w:t xml:space="preserve">provide </w:t>
      </w:r>
      <w:r w:rsidRPr="007C5A96">
        <w:rPr>
          <w:lang w:eastAsia="zh-HK"/>
        </w:rPr>
        <w:t xml:space="preserve">a collaborative platform for teachers to create pedagogical </w:t>
      </w:r>
      <w:r w:rsidRPr="00B66343">
        <w:rPr>
          <w:lang w:eastAsia="zh-HK"/>
        </w:rPr>
        <w:t xml:space="preserve">knowledge </w:t>
      </w:r>
      <w:r w:rsidR="00252C16" w:rsidRPr="00B66343">
        <w:rPr>
          <w:lang w:eastAsia="zh-HK"/>
        </w:rPr>
        <w:t>to</w:t>
      </w:r>
      <w:r w:rsidRPr="00B66343">
        <w:rPr>
          <w:lang w:eastAsia="zh-HK"/>
        </w:rPr>
        <w:t xml:space="preserve"> bridge the curriculum implementation gaps (Cheng</w:t>
      </w:r>
      <w:r w:rsidR="00A465FA" w:rsidRPr="00B66343">
        <w:rPr>
          <w:lang w:eastAsia="zh-HK"/>
        </w:rPr>
        <w:t>,</w:t>
      </w:r>
      <w:r w:rsidRPr="00B66343">
        <w:rPr>
          <w:lang w:eastAsia="zh-HK"/>
        </w:rPr>
        <w:t xml:space="preserve"> 2018). </w:t>
      </w:r>
      <w:r w:rsidR="00181F9A" w:rsidRPr="00B66343">
        <w:rPr>
          <w:lang w:eastAsia="zh-HK"/>
        </w:rPr>
        <w:t>Research show that Lesson Study enables teachers to create pedagogical content knowled</w:t>
      </w:r>
      <w:r w:rsidR="000E4907" w:rsidRPr="00B66343">
        <w:rPr>
          <w:lang w:eastAsia="zh-HK"/>
        </w:rPr>
        <w:t>ge (</w:t>
      </w:r>
      <w:proofErr w:type="spellStart"/>
      <w:r w:rsidR="000E4907" w:rsidRPr="00B66343">
        <w:rPr>
          <w:lang w:eastAsia="zh-HK"/>
        </w:rPr>
        <w:t>Mostofo</w:t>
      </w:r>
      <w:proofErr w:type="spellEnd"/>
      <w:r w:rsidR="00F32716" w:rsidRPr="00B66343">
        <w:rPr>
          <w:lang w:eastAsia="zh-HK"/>
        </w:rPr>
        <w:t>,</w:t>
      </w:r>
      <w:r w:rsidR="000E4907" w:rsidRPr="00B66343">
        <w:rPr>
          <w:lang w:eastAsia="zh-HK"/>
        </w:rPr>
        <w:t xml:space="preserve"> 2014; Leavy &amp; </w:t>
      </w:r>
      <w:r w:rsidR="002B640A" w:rsidRPr="00B66343">
        <w:rPr>
          <w:lang w:eastAsia="zh-HK"/>
        </w:rPr>
        <w:t>Hourigan,</w:t>
      </w:r>
      <w:r w:rsidR="00181F9A" w:rsidRPr="00B66343">
        <w:rPr>
          <w:lang w:eastAsia="zh-HK"/>
        </w:rPr>
        <w:t xml:space="preserve"> </w:t>
      </w:r>
      <w:r w:rsidR="00F32716" w:rsidRPr="00B66343">
        <w:rPr>
          <w:lang w:eastAsia="zh-HK"/>
        </w:rPr>
        <w:t>2016; Da Ponte, 2017; Saran, 2018</w:t>
      </w:r>
      <w:r w:rsidR="00181F9A" w:rsidRPr="00B66343">
        <w:rPr>
          <w:lang w:eastAsia="zh-HK"/>
        </w:rPr>
        <w:t>; Zhou</w:t>
      </w:r>
      <w:r w:rsidR="008E0273" w:rsidRPr="00B66343">
        <w:rPr>
          <w:lang w:eastAsia="zh-HK"/>
        </w:rPr>
        <w:t>,</w:t>
      </w:r>
      <w:r w:rsidR="00181F9A" w:rsidRPr="00B66343">
        <w:rPr>
          <w:lang w:eastAsia="zh-HK"/>
        </w:rPr>
        <w:t xml:space="preserve"> Xu &amp; Martinovic</w:t>
      </w:r>
      <w:r w:rsidR="00F32716" w:rsidRPr="00B66343">
        <w:rPr>
          <w:lang w:eastAsia="zh-HK"/>
        </w:rPr>
        <w:t>,</w:t>
      </w:r>
      <w:r w:rsidR="00181F9A" w:rsidRPr="00B66343">
        <w:rPr>
          <w:lang w:eastAsia="zh-HK"/>
        </w:rPr>
        <w:t xml:space="preserve"> 2017), pedagogical and technological content knowledge (Meng &amp; Sam 2013) Lesson Study supports teachers to construct pedagogical content knowledge on orientation toward teaching, instructional strategies, and students understanding of specific topic</w:t>
      </w:r>
      <w:r w:rsidR="000E4907" w:rsidRPr="00B66343">
        <w:rPr>
          <w:lang w:eastAsia="zh-HK"/>
        </w:rPr>
        <w:t>s (</w:t>
      </w:r>
      <w:proofErr w:type="spellStart"/>
      <w:r w:rsidR="000E4907" w:rsidRPr="00B66343">
        <w:rPr>
          <w:lang w:eastAsia="zh-HK"/>
        </w:rPr>
        <w:t>Coenders</w:t>
      </w:r>
      <w:proofErr w:type="spellEnd"/>
      <w:r w:rsidR="000E4907" w:rsidRPr="00B66343">
        <w:rPr>
          <w:lang w:eastAsia="zh-HK"/>
        </w:rPr>
        <w:t xml:space="preserve"> &amp;</w:t>
      </w:r>
      <w:r w:rsidR="00F9607E" w:rsidRPr="00B66343">
        <w:rPr>
          <w:lang w:eastAsia="zh-HK"/>
        </w:rPr>
        <w:t xml:space="preserve"> </w:t>
      </w:r>
      <w:r w:rsidR="000E4907" w:rsidRPr="00B66343">
        <w:rPr>
          <w:lang w:eastAsia="zh-HK"/>
        </w:rPr>
        <w:t>Verhoef,</w:t>
      </w:r>
      <w:r w:rsidR="00181F9A" w:rsidRPr="00B66343">
        <w:rPr>
          <w:lang w:eastAsia="zh-HK"/>
        </w:rPr>
        <w:t xml:space="preserve"> 2019)</w:t>
      </w:r>
      <w:r w:rsidR="00D00E7C" w:rsidRPr="00B66343">
        <w:rPr>
          <w:lang w:eastAsia="zh-HK"/>
        </w:rPr>
        <w:t>.</w:t>
      </w:r>
      <w:r w:rsidR="00D00E7C" w:rsidRPr="007C5A96">
        <w:rPr>
          <w:lang w:eastAsia="zh-HK"/>
        </w:rPr>
        <w:t xml:space="preserve"> </w:t>
      </w:r>
      <w:r w:rsidR="00181F9A" w:rsidRPr="007C5A96">
        <w:rPr>
          <w:lang w:eastAsia="zh-HK"/>
        </w:rPr>
        <w:t xml:space="preserve">In term of process, Lesson Study involves collaborative lesson planning, peer lesson observations and post lesson conferences in one or more cycles. </w:t>
      </w:r>
      <w:r w:rsidR="00181F9A" w:rsidRPr="007C5A96">
        <w:rPr>
          <w:color w:val="000000" w:themeColor="text1"/>
        </w:rPr>
        <w:t xml:space="preserve">It enable teachers to work collaboratively in teaching and learning, and bring in and share their experiences on finding out how students learn, how they respond in classes, and how </w:t>
      </w:r>
      <w:r w:rsidR="00181F9A" w:rsidRPr="00B66343">
        <w:rPr>
          <w:color w:val="000000" w:themeColor="text1"/>
        </w:rPr>
        <w:t xml:space="preserve">to make students' thinking visible during planning, observing, and reflecting phases. </w:t>
      </w:r>
      <w:r w:rsidR="00181F9A" w:rsidRPr="00B66343">
        <w:rPr>
          <w:lang w:eastAsia="zh-HK"/>
        </w:rPr>
        <w:t>Such process promotes peer learning among the participated teachers (Lamb</w:t>
      </w:r>
      <w:r w:rsidR="002B640A" w:rsidRPr="00B66343">
        <w:rPr>
          <w:lang w:eastAsia="zh-HK"/>
        </w:rPr>
        <w:t>,</w:t>
      </w:r>
      <w:r w:rsidR="00181F9A" w:rsidRPr="00B66343">
        <w:rPr>
          <w:lang w:eastAsia="zh-HK"/>
        </w:rPr>
        <w:t xml:space="preserve"> 2015;</w:t>
      </w:r>
      <w:r w:rsidR="002B640A" w:rsidRPr="00B66343">
        <w:rPr>
          <w:lang w:eastAsia="zh-HK"/>
        </w:rPr>
        <w:t xml:space="preserve"> </w:t>
      </w:r>
      <w:proofErr w:type="spellStart"/>
      <w:r w:rsidR="002B640A" w:rsidRPr="00B66343">
        <w:rPr>
          <w:lang w:eastAsia="zh-HK"/>
        </w:rPr>
        <w:t>Ik</w:t>
      </w:r>
      <w:r w:rsidR="00181F9A" w:rsidRPr="00B66343">
        <w:rPr>
          <w:lang w:eastAsia="zh-HK"/>
        </w:rPr>
        <w:t>san</w:t>
      </w:r>
      <w:proofErr w:type="spellEnd"/>
      <w:r w:rsidR="00181F9A" w:rsidRPr="00B66343">
        <w:rPr>
          <w:lang w:eastAsia="zh-HK"/>
        </w:rPr>
        <w:t>, Zakaria</w:t>
      </w:r>
      <w:r w:rsidR="000245A5" w:rsidRPr="00B66343">
        <w:rPr>
          <w:lang w:eastAsia="zh-HK"/>
        </w:rPr>
        <w:t>,</w:t>
      </w:r>
      <w:r w:rsidR="00181F9A" w:rsidRPr="00B66343">
        <w:rPr>
          <w:lang w:eastAsia="zh-HK"/>
        </w:rPr>
        <w:t xml:space="preserve"> &amp; </w:t>
      </w:r>
      <w:proofErr w:type="spellStart"/>
      <w:r w:rsidR="00181F9A" w:rsidRPr="00B66343">
        <w:rPr>
          <w:lang w:eastAsia="zh-HK"/>
        </w:rPr>
        <w:t>Daud</w:t>
      </w:r>
      <w:proofErr w:type="spellEnd"/>
      <w:r w:rsidR="002B640A" w:rsidRPr="00B66343">
        <w:rPr>
          <w:lang w:eastAsia="zh-HK"/>
        </w:rPr>
        <w:t>,</w:t>
      </w:r>
      <w:r w:rsidR="00181F9A" w:rsidRPr="00B66343">
        <w:rPr>
          <w:lang w:eastAsia="zh-HK"/>
        </w:rPr>
        <w:t xml:space="preserve"> 2014) and help them to focus on students’ learning for effective instructional design (Hourigan &amp; Leavy</w:t>
      </w:r>
      <w:r w:rsidR="00F9607E" w:rsidRPr="00B66343">
        <w:rPr>
          <w:lang w:eastAsia="zh-HK"/>
        </w:rPr>
        <w:t>,</w:t>
      </w:r>
      <w:r w:rsidR="00181F9A" w:rsidRPr="00B66343">
        <w:rPr>
          <w:lang w:eastAsia="zh-HK"/>
        </w:rPr>
        <w:t xml:space="preserve"> 2019). </w:t>
      </w:r>
      <w:r w:rsidR="00181F9A" w:rsidRPr="00B66343">
        <w:rPr>
          <w:color w:val="000000" w:themeColor="text1"/>
        </w:rPr>
        <w:t xml:space="preserve">With the lesson's goal in mind, teachers can design ways to make students thinking visible, such as giving them exercises which allow them to discuss, compare, </w:t>
      </w:r>
      <w:proofErr w:type="gramStart"/>
      <w:r w:rsidR="00181F9A" w:rsidRPr="00B66343">
        <w:rPr>
          <w:color w:val="000000" w:themeColor="text1"/>
        </w:rPr>
        <w:t>comment</w:t>
      </w:r>
      <w:proofErr w:type="gramEnd"/>
      <w:r w:rsidR="00181F9A" w:rsidRPr="00B66343">
        <w:rPr>
          <w:color w:val="000000" w:themeColor="text1"/>
        </w:rPr>
        <w:t xml:space="preserve"> and reflect on ideas. (</w:t>
      </w:r>
      <w:proofErr w:type="spellStart"/>
      <w:r w:rsidR="009A7280" w:rsidRPr="00B66343">
        <w:rPr>
          <w:color w:val="000000" w:themeColor="text1"/>
        </w:rPr>
        <w:t>Cerbin</w:t>
      </w:r>
      <w:proofErr w:type="spellEnd"/>
      <w:r w:rsidR="009A7280" w:rsidRPr="00B66343">
        <w:rPr>
          <w:color w:val="000000" w:themeColor="text1"/>
        </w:rPr>
        <w:t xml:space="preserve">, William &amp; </w:t>
      </w:r>
      <w:r w:rsidR="00181F9A" w:rsidRPr="00B66343">
        <w:rPr>
          <w:color w:val="000000" w:themeColor="text1"/>
        </w:rPr>
        <w:t>Kopp</w:t>
      </w:r>
      <w:r w:rsidR="009A7280" w:rsidRPr="00B66343">
        <w:rPr>
          <w:color w:val="000000" w:themeColor="text1"/>
        </w:rPr>
        <w:t>,</w:t>
      </w:r>
      <w:r w:rsidR="00181F9A" w:rsidRPr="00B66343">
        <w:rPr>
          <w:color w:val="000000" w:themeColor="text1"/>
        </w:rPr>
        <w:t xml:space="preserve"> 2006). </w:t>
      </w:r>
      <w:r w:rsidR="00083E46" w:rsidRPr="00B66343">
        <w:rPr>
          <w:lang w:eastAsia="zh-HK"/>
        </w:rPr>
        <w:t>The Plan-Do-Check-Act cycle of Lesson Study enhances the critical thinking, communication and collaborative skills, metacognition, literacy of pre-service teachers, acquiring these skills enable them to teach their pupils with 21st ce</w:t>
      </w:r>
      <w:r w:rsidR="009A7280" w:rsidRPr="00B66343">
        <w:rPr>
          <w:lang w:eastAsia="zh-HK"/>
        </w:rPr>
        <w:t xml:space="preserve">ntury skills (Susilo, </w:t>
      </w:r>
      <w:proofErr w:type="spellStart"/>
      <w:r w:rsidR="009A7280" w:rsidRPr="00B66343">
        <w:rPr>
          <w:lang w:eastAsia="zh-HK"/>
        </w:rPr>
        <w:t>Sudrajat</w:t>
      </w:r>
      <w:proofErr w:type="spellEnd"/>
      <w:r w:rsidR="009A7280" w:rsidRPr="00B66343">
        <w:rPr>
          <w:lang w:eastAsia="zh-HK"/>
        </w:rPr>
        <w:t xml:space="preserve">, &amp; </w:t>
      </w:r>
      <w:proofErr w:type="spellStart"/>
      <w:r w:rsidR="009A7280" w:rsidRPr="00B66343">
        <w:rPr>
          <w:lang w:eastAsia="zh-HK"/>
        </w:rPr>
        <w:t>Indriwati</w:t>
      </w:r>
      <w:proofErr w:type="spellEnd"/>
      <w:r w:rsidR="009A7280" w:rsidRPr="00B66343">
        <w:rPr>
          <w:lang w:eastAsia="zh-HK"/>
        </w:rPr>
        <w:t xml:space="preserve">, </w:t>
      </w:r>
      <w:r w:rsidR="00083E46" w:rsidRPr="00B66343">
        <w:rPr>
          <w:lang w:eastAsia="zh-HK"/>
        </w:rPr>
        <w:t>2018).</w:t>
      </w:r>
      <w:r w:rsidR="003E4783" w:rsidRPr="00B66343">
        <w:rPr>
          <w:lang w:eastAsia="zh-HK"/>
        </w:rPr>
        <w:t xml:space="preserve"> </w:t>
      </w:r>
      <w:r w:rsidR="003E4783" w:rsidRPr="00B66343">
        <w:t xml:space="preserve">Beyond doubt, the development of Lesson Study around the world prove itself to be a powerful tool for creating </w:t>
      </w:r>
      <w:r w:rsidR="00D00E7C" w:rsidRPr="00B66343">
        <w:t xml:space="preserve">pedagogical </w:t>
      </w:r>
      <w:r w:rsidR="003E4783" w:rsidRPr="00B66343">
        <w:t>knowledge for teaching.</w:t>
      </w:r>
    </w:p>
    <w:p w14:paraId="38F32030" w14:textId="77777777" w:rsidR="003E4783" w:rsidRPr="00B66343" w:rsidRDefault="003E4783" w:rsidP="00B546BD">
      <w:pPr>
        <w:spacing w:line="0" w:lineRule="atLeast"/>
        <w:ind w:firstLine="480"/>
        <w:jc w:val="both"/>
      </w:pPr>
    </w:p>
    <w:p w14:paraId="7A99AB8B" w14:textId="188B7E73" w:rsidR="0087650A" w:rsidRPr="007C5A96" w:rsidRDefault="0087650A" w:rsidP="00B546BD">
      <w:pPr>
        <w:spacing w:line="0" w:lineRule="atLeast"/>
        <w:ind w:firstLine="480"/>
        <w:jc w:val="both"/>
        <w:rPr>
          <w:lang w:eastAsia="zh-HK"/>
        </w:rPr>
      </w:pPr>
      <w:r w:rsidRPr="00B66343">
        <w:t xml:space="preserve">Lesson Study enables </w:t>
      </w:r>
      <w:r w:rsidR="003E4783" w:rsidRPr="00B66343">
        <w:t xml:space="preserve">both </w:t>
      </w:r>
      <w:r w:rsidRPr="00B66343">
        <w:t>in-service and preservice teachers to master teaching skills (Galini &amp; Kostas</w:t>
      </w:r>
      <w:r w:rsidR="00F32716" w:rsidRPr="00B66343">
        <w:t>,</w:t>
      </w:r>
      <w:r w:rsidRPr="00B66343">
        <w:t xml:space="preserve"> 2014; </w:t>
      </w:r>
      <w:proofErr w:type="spellStart"/>
      <w:r w:rsidRPr="00B66343">
        <w:t>Munthe</w:t>
      </w:r>
      <w:proofErr w:type="spellEnd"/>
      <w:r w:rsidRPr="00B66343">
        <w:t xml:space="preserve">, </w:t>
      </w:r>
      <w:proofErr w:type="spellStart"/>
      <w:r w:rsidRPr="00B66343">
        <w:t>Bjuland</w:t>
      </w:r>
      <w:proofErr w:type="spellEnd"/>
      <w:r w:rsidRPr="00B66343">
        <w:t xml:space="preserve"> &amp; </w:t>
      </w:r>
      <w:proofErr w:type="spellStart"/>
      <w:r w:rsidRPr="00B66343">
        <w:t>Helgevold</w:t>
      </w:r>
      <w:proofErr w:type="spellEnd"/>
      <w:r w:rsidR="00F32716" w:rsidRPr="00B66343">
        <w:t>,</w:t>
      </w:r>
      <w:r w:rsidRPr="00B66343">
        <w:t xml:space="preserve"> 2016; Angelini &amp; Álvarez</w:t>
      </w:r>
      <w:r w:rsidR="00F32716" w:rsidRPr="00B66343">
        <w:t>,</w:t>
      </w:r>
      <w:r w:rsidRPr="00B66343">
        <w:t xml:space="preserve"> 2018), develop their instructional design competency (Cheng</w:t>
      </w:r>
      <w:r w:rsidR="009A7280" w:rsidRPr="00B66343">
        <w:t>,</w:t>
      </w:r>
      <w:r w:rsidRPr="00B66343">
        <w:t xml:space="preserve"> 201</w:t>
      </w:r>
      <w:r w:rsidR="003B5771" w:rsidRPr="00B66343">
        <w:t>1b</w:t>
      </w:r>
      <w:r w:rsidRPr="00B66343">
        <w:t>) promote their reflective abilities (Lamb &amp; Aldous</w:t>
      </w:r>
      <w:r w:rsidR="009A7280" w:rsidRPr="00B66343">
        <w:t>,</w:t>
      </w:r>
      <w:r w:rsidRPr="00B66343">
        <w:t xml:space="preserve"> 2016). </w:t>
      </w:r>
      <w:r w:rsidR="00181F9A" w:rsidRPr="00B66343">
        <w:t>T</w:t>
      </w:r>
      <w:r w:rsidR="001933D5" w:rsidRPr="00B66343">
        <w:t>here is a growing trend to adapting Lesson Study in teacher education programme of universities for enhancing pre-service teachers’ teaching skills and competences through micro-teaching in their campus courses (</w:t>
      </w:r>
      <w:bookmarkStart w:id="1" w:name="_Hlk46735990"/>
      <w:proofErr w:type="spellStart"/>
      <w:r w:rsidR="000245A5" w:rsidRPr="00B66343">
        <w:t>Iksan</w:t>
      </w:r>
      <w:proofErr w:type="spellEnd"/>
      <w:r w:rsidR="000245A5" w:rsidRPr="00B66343">
        <w:t>, Nor, &amp;</w:t>
      </w:r>
      <w:r w:rsidR="001933D5" w:rsidRPr="00B66343">
        <w:t xml:space="preserve"> Nor</w:t>
      </w:r>
      <w:r w:rsidR="009A7280" w:rsidRPr="00B66343">
        <w:t>,</w:t>
      </w:r>
      <w:r w:rsidR="001933D5" w:rsidRPr="00B66343">
        <w:t xml:space="preserve"> 2013; Zhou, Xu &amp; Martinovic</w:t>
      </w:r>
      <w:r w:rsidR="00F9607E" w:rsidRPr="00B66343">
        <w:t>,</w:t>
      </w:r>
      <w:r w:rsidR="001933D5" w:rsidRPr="00B66343">
        <w:t xml:space="preserve"> 2017</w:t>
      </w:r>
      <w:bookmarkEnd w:id="1"/>
      <w:r w:rsidR="004748A0">
        <w:t>; Moghaddam et. al. 2020</w:t>
      </w:r>
      <w:r w:rsidR="001933D5" w:rsidRPr="00B66343">
        <w:t>) or through practicum in partnership schools (</w:t>
      </w:r>
      <w:proofErr w:type="spellStart"/>
      <w:r w:rsidR="001933D5" w:rsidRPr="00B66343">
        <w:t>Cheng</w:t>
      </w:r>
      <w:r w:rsidR="009A7280" w:rsidRPr="00B66343">
        <w:t>,</w:t>
      </w:r>
      <w:proofErr w:type="spellEnd"/>
      <w:r w:rsidR="001933D5" w:rsidRPr="00B66343">
        <w:t xml:space="preserve"> 2014</w:t>
      </w:r>
      <w:r w:rsidR="003E4783" w:rsidRPr="00B66343">
        <w:t>)</w:t>
      </w:r>
      <w:r w:rsidR="00925D82" w:rsidRPr="00B66343">
        <w:t xml:space="preserve"> Lofthouse and Cowie (2018) adapted Lesson Study to develop a repertoire for teaching thinking skills for pre-service </w:t>
      </w:r>
      <w:r w:rsidR="00925D82" w:rsidRPr="00B66343">
        <w:lastRenderedPageBreak/>
        <w:t>teacher in a PGCE module.</w:t>
      </w:r>
      <w:r w:rsidR="00181F9A" w:rsidRPr="00B66343">
        <w:t xml:space="preserve"> </w:t>
      </w:r>
      <w:r w:rsidR="001933D5" w:rsidRPr="00B66343">
        <w:t xml:space="preserve">Integrating the concept of metacognition and teachers' guidance in Lesson Study training for pre-service teachers show improvement in both students' learning and pupils learning (Martin </w:t>
      </w:r>
      <w:r w:rsidR="0085490C" w:rsidRPr="00B66343">
        <w:t>&amp;</w:t>
      </w:r>
      <w:r w:rsidR="001933D5" w:rsidRPr="00B66343">
        <w:t xml:space="preserve"> Clerc-Georgy</w:t>
      </w:r>
      <w:r w:rsidR="009A7280" w:rsidRPr="00B66343">
        <w:t>,</w:t>
      </w:r>
      <w:r w:rsidR="0085490C" w:rsidRPr="00B66343">
        <w:t xml:space="preserve"> </w:t>
      </w:r>
      <w:r w:rsidR="001933D5" w:rsidRPr="00B66343">
        <w:t xml:space="preserve">2014). </w:t>
      </w:r>
      <w:r w:rsidRPr="00B66343">
        <w:t xml:space="preserve">However, </w:t>
      </w:r>
      <w:r w:rsidR="006F6574" w:rsidRPr="00B66343">
        <w:t xml:space="preserve">there is still </w:t>
      </w:r>
      <w:r w:rsidR="00AD1F35" w:rsidRPr="00B66343">
        <w:t>lacking</w:t>
      </w:r>
      <w:r w:rsidR="006F6574" w:rsidRPr="00B66343">
        <w:t xml:space="preserve"> relevant stud</w:t>
      </w:r>
      <w:r w:rsidRPr="00B66343">
        <w:t xml:space="preserve">ies reported in literature to explore application of Lesson Study to craft metacognitive teaching strategies to address </w:t>
      </w:r>
      <w:r w:rsidR="0071777F" w:rsidRPr="00B66343">
        <w:t>competencies-based</w:t>
      </w:r>
      <w:r w:rsidRPr="00B66343">
        <w:t xml:space="preserve"> curriculum. </w:t>
      </w:r>
      <w:r w:rsidR="00D00E7C" w:rsidRPr="00B66343">
        <w:t xml:space="preserve">It is worth to explore how can Lesson Study craft pedagogical knowledge for developing student competencies. </w:t>
      </w:r>
      <w:r w:rsidR="00E1542D" w:rsidRPr="00B66343">
        <w:t>This</w:t>
      </w:r>
      <w:r w:rsidRPr="00B66343">
        <w:t xml:space="preserve"> study appl</w:t>
      </w:r>
      <w:r w:rsidR="00B150A4" w:rsidRPr="00B66343">
        <w:t>ied</w:t>
      </w:r>
      <w:r w:rsidRPr="00B66343">
        <w:t xml:space="preserve"> Lesson Study in a course</w:t>
      </w:r>
      <w:r w:rsidR="00B150A4" w:rsidRPr="00B66343">
        <w:t xml:space="preserve"> of an Education University in Hong Kong</w:t>
      </w:r>
      <w:r w:rsidRPr="00B66343">
        <w:t xml:space="preserve"> </w:t>
      </w:r>
      <w:r w:rsidR="00D00E7C" w:rsidRPr="00B66343">
        <w:t xml:space="preserve">support </w:t>
      </w:r>
      <w:r w:rsidRPr="00B66343">
        <w:t>with a school partnership for crafting metacognitive teaching strategies</w:t>
      </w:r>
      <w:r w:rsidR="007B4EC5" w:rsidRPr="00B66343">
        <w:t xml:space="preserve"> to bridge this research </w:t>
      </w:r>
      <w:r w:rsidR="00E1542D" w:rsidRPr="00B66343">
        <w:t>gap</w:t>
      </w:r>
      <w:r w:rsidRPr="00B66343">
        <w:t>.</w:t>
      </w:r>
    </w:p>
    <w:p w14:paraId="0D246D5E" w14:textId="4984743B" w:rsidR="00AD1F35" w:rsidRPr="007C5A96" w:rsidRDefault="00AD1F35" w:rsidP="00AD1F35">
      <w:pPr>
        <w:spacing w:line="0" w:lineRule="atLeast"/>
        <w:jc w:val="both"/>
        <w:rPr>
          <w:lang w:eastAsia="zh-HK"/>
        </w:rPr>
      </w:pPr>
    </w:p>
    <w:p w14:paraId="256CE808" w14:textId="289894D3" w:rsidR="00BA68BF" w:rsidRPr="007C5A96" w:rsidRDefault="004E5210" w:rsidP="00570D0B">
      <w:pPr>
        <w:spacing w:line="0" w:lineRule="atLeast"/>
        <w:ind w:firstLine="480"/>
        <w:jc w:val="both"/>
      </w:pPr>
      <w:r w:rsidRPr="00B66343">
        <w:t xml:space="preserve">Metacognition </w:t>
      </w:r>
      <w:r w:rsidR="00413EE6" w:rsidRPr="00B66343">
        <w:t>is a process of higher order thinking (Livingston</w:t>
      </w:r>
      <w:r w:rsidR="009A7280" w:rsidRPr="00B66343">
        <w:t>,</w:t>
      </w:r>
      <w:r w:rsidR="00413EE6" w:rsidRPr="00B66343">
        <w:t xml:space="preserve"> 2003) wh</w:t>
      </w:r>
      <w:r w:rsidR="0053603F" w:rsidRPr="00B66343">
        <w:t>ich</w:t>
      </w:r>
      <w:r w:rsidR="00413EE6" w:rsidRPr="00B66343">
        <w:t xml:space="preserve"> involves </w:t>
      </w:r>
      <w:r w:rsidR="003E0A20" w:rsidRPr="00B66343">
        <w:t>“</w:t>
      </w:r>
      <w:r w:rsidR="00413EE6" w:rsidRPr="00B66343">
        <w:t>critical analysis of though</w:t>
      </w:r>
      <w:r w:rsidR="005A0A38" w:rsidRPr="00B66343">
        <w:t>t</w:t>
      </w:r>
      <w:r w:rsidR="003E0A20" w:rsidRPr="00B66343">
        <w:t>”</w:t>
      </w:r>
      <w:r w:rsidR="005A0A38" w:rsidRPr="00B66343">
        <w:t xml:space="preserve"> (Serra &amp; Metcalfe, 2009)</w:t>
      </w:r>
      <w:r w:rsidR="00413EE6" w:rsidRPr="00B66343">
        <w:t xml:space="preserve">, </w:t>
      </w:r>
      <w:r w:rsidR="003E0A20" w:rsidRPr="00B66343">
        <w:t>“</w:t>
      </w:r>
      <w:r w:rsidR="00413EE6" w:rsidRPr="00B66343">
        <w:t>knowledge and cognition about a cognitive phenomenon</w:t>
      </w:r>
      <w:r w:rsidR="003E0A20" w:rsidRPr="00B66343">
        <w:t>”</w:t>
      </w:r>
      <w:r w:rsidR="009C4B70" w:rsidRPr="00B66343">
        <w:t xml:space="preserve"> </w:t>
      </w:r>
      <w:r w:rsidR="00A76695" w:rsidRPr="00B66343">
        <w:t>(Flavell, 1979</w:t>
      </w:r>
      <w:r w:rsidR="000B15C8" w:rsidRPr="00B66343">
        <w:t>)</w:t>
      </w:r>
      <w:r w:rsidR="00413EE6" w:rsidRPr="00B66343">
        <w:t xml:space="preserve"> through</w:t>
      </w:r>
      <w:r w:rsidRPr="00B66343">
        <w:t xml:space="preserve"> monitoring, regulati</w:t>
      </w:r>
      <w:r w:rsidR="0053603F" w:rsidRPr="00B66343">
        <w:t>ng</w:t>
      </w:r>
      <w:r w:rsidRPr="00B66343">
        <w:t xml:space="preserve"> and orchestrat</w:t>
      </w:r>
      <w:r w:rsidR="0053603F" w:rsidRPr="00B66343">
        <w:t>ing</w:t>
      </w:r>
      <w:r w:rsidRPr="00B66343">
        <w:t xml:space="preserve"> of cognitive processes and products (Flavell</w:t>
      </w:r>
      <w:r w:rsidR="009A7280" w:rsidRPr="00B66343">
        <w:t>,</w:t>
      </w:r>
      <w:r w:rsidRPr="00B66343">
        <w:t xml:space="preserve"> 1976</w:t>
      </w:r>
      <w:r w:rsidR="005803A7" w:rsidRPr="00B66343">
        <w:t>, 1979</w:t>
      </w:r>
      <w:r w:rsidRPr="00B66343">
        <w:t>)</w:t>
      </w:r>
      <w:r w:rsidR="007B4EC5" w:rsidRPr="00B66343">
        <w:t xml:space="preserve">. </w:t>
      </w:r>
      <w:r w:rsidR="00413EE6" w:rsidRPr="00B66343">
        <w:t>Metacognition</w:t>
      </w:r>
      <w:r w:rsidR="007B4EC5" w:rsidRPr="00B66343">
        <w:t xml:space="preserve"> </w:t>
      </w:r>
      <w:r w:rsidRPr="00B66343">
        <w:t>is an individual ability to understand and manipulate their own cognitive processes</w:t>
      </w:r>
      <w:r w:rsidR="007B4EC5" w:rsidRPr="00B66343">
        <w:t xml:space="preserve"> (Reeve &amp; Brown</w:t>
      </w:r>
      <w:r w:rsidR="009A7280" w:rsidRPr="00B66343">
        <w:t>,</w:t>
      </w:r>
      <w:r w:rsidR="007B4EC5" w:rsidRPr="00B66343">
        <w:t xml:space="preserve"> </w:t>
      </w:r>
      <w:r w:rsidRPr="00B66343">
        <w:t>1984)</w:t>
      </w:r>
      <w:r w:rsidR="00413EE6" w:rsidRPr="00B66343">
        <w:t xml:space="preserve"> and it is about individuals' having information about their cognitive structure and being able to organize it (</w:t>
      </w:r>
      <w:proofErr w:type="spellStart"/>
      <w:r w:rsidR="00413EE6" w:rsidRPr="00B66343">
        <w:t>Akturk</w:t>
      </w:r>
      <w:proofErr w:type="spellEnd"/>
      <w:r w:rsidR="00413EE6" w:rsidRPr="00B66343">
        <w:t xml:space="preserve"> et al</w:t>
      </w:r>
      <w:r w:rsidR="009A7280" w:rsidRPr="00B66343">
        <w:t>.,</w:t>
      </w:r>
      <w:r w:rsidR="00413EE6" w:rsidRPr="00B66343">
        <w:t xml:space="preserve"> 2011).</w:t>
      </w:r>
      <w:r w:rsidRPr="00B66343">
        <w:t xml:space="preserve"> </w:t>
      </w:r>
      <w:r w:rsidR="00311CD5" w:rsidRPr="00B66343">
        <w:t>Flavel</w:t>
      </w:r>
      <w:r w:rsidR="009A7280" w:rsidRPr="00B66343">
        <w:t>l</w:t>
      </w:r>
      <w:r w:rsidR="00311CD5" w:rsidRPr="00B66343">
        <w:t xml:space="preserve"> </w:t>
      </w:r>
      <w:r w:rsidR="00311CD5" w:rsidRPr="00B66343">
        <w:rPr>
          <w:lang w:eastAsia="zh-HK"/>
        </w:rPr>
        <w:t>(</w:t>
      </w:r>
      <w:r w:rsidR="00F249F9" w:rsidRPr="00B66343">
        <w:rPr>
          <w:lang w:eastAsia="zh-HK"/>
        </w:rPr>
        <w:t>197</w:t>
      </w:r>
      <w:r w:rsidR="009A7280" w:rsidRPr="00B66343">
        <w:rPr>
          <w:lang w:eastAsia="zh-HK"/>
        </w:rPr>
        <w:t>9</w:t>
      </w:r>
      <w:r w:rsidR="00F249F9" w:rsidRPr="00B66343">
        <w:rPr>
          <w:lang w:eastAsia="zh-HK"/>
        </w:rPr>
        <w:t xml:space="preserve">) </w:t>
      </w:r>
      <w:r w:rsidR="0090610C" w:rsidRPr="00B66343">
        <w:rPr>
          <w:lang w:eastAsia="zh-HK"/>
        </w:rPr>
        <w:t xml:space="preserve">conceptualize </w:t>
      </w:r>
      <w:r w:rsidR="00311CD5" w:rsidRPr="00B66343">
        <w:t>metacogniti</w:t>
      </w:r>
      <w:r w:rsidR="0090610C" w:rsidRPr="00B66343">
        <w:t xml:space="preserve">ve activities as an interactive process of four critical elements </w:t>
      </w:r>
      <w:r w:rsidR="00AB1E54" w:rsidRPr="00B66343">
        <w:t>metacognitive</w:t>
      </w:r>
      <w:r w:rsidR="00311CD5" w:rsidRPr="00B66343">
        <w:t xml:space="preserve"> knowledge, metacognitive experiences, </w:t>
      </w:r>
      <w:proofErr w:type="gramStart"/>
      <w:r w:rsidR="00F249F9" w:rsidRPr="00B66343">
        <w:t>goals</w:t>
      </w:r>
      <w:proofErr w:type="gramEnd"/>
      <w:r w:rsidR="00F249F9" w:rsidRPr="00B66343">
        <w:t xml:space="preserve"> </w:t>
      </w:r>
      <w:r w:rsidR="00311CD5" w:rsidRPr="00B66343">
        <w:t>and cognitive strategies</w:t>
      </w:r>
      <w:r w:rsidR="00F249F9" w:rsidRPr="00B66343">
        <w:t xml:space="preserve"> </w:t>
      </w:r>
      <w:r w:rsidR="00AB1E54" w:rsidRPr="00B66343">
        <w:t>to operate the</w:t>
      </w:r>
      <w:r w:rsidR="00F249F9" w:rsidRPr="00B66343">
        <w:t xml:space="preserve"> </w:t>
      </w:r>
      <w:r w:rsidR="00AB1E54" w:rsidRPr="00B66343">
        <w:t xml:space="preserve">metacognitive process for learning. The interactions of these four elements fully operate the monitoring, </w:t>
      </w:r>
      <w:proofErr w:type="gramStart"/>
      <w:r w:rsidR="00AB1E54" w:rsidRPr="00B66343">
        <w:t>regulating</w:t>
      </w:r>
      <w:proofErr w:type="gramEnd"/>
      <w:r w:rsidR="00AB1E54" w:rsidRPr="00B66343">
        <w:t xml:space="preserve"> and orchestrating of cognitive processes for effective learning.</w:t>
      </w:r>
      <w:r w:rsidR="000B4130" w:rsidRPr="00B66343">
        <w:t xml:space="preserve"> </w:t>
      </w:r>
      <w:r w:rsidR="00497966" w:rsidRPr="00B66343">
        <w:t>Brown (1987</w:t>
      </w:r>
      <w:r w:rsidR="00311CD5" w:rsidRPr="00B66343">
        <w:t>)</w:t>
      </w:r>
      <w:r w:rsidR="0090610C" w:rsidRPr="00B66343">
        <w:t xml:space="preserve"> propose </w:t>
      </w:r>
      <w:r w:rsidR="00311CD5" w:rsidRPr="00B66343">
        <w:t>knowledge about cognition</w:t>
      </w:r>
      <w:r w:rsidR="0090610C" w:rsidRPr="00B66343">
        <w:t>,</w:t>
      </w:r>
      <w:r w:rsidR="00311CD5" w:rsidRPr="00B66343">
        <w:t xml:space="preserve"> regulation of cognition</w:t>
      </w:r>
      <w:r w:rsidR="0090610C" w:rsidRPr="00B66343">
        <w:t xml:space="preserve"> and motivation to explain the metacognitive learning process. </w:t>
      </w:r>
      <w:r w:rsidR="009008AD" w:rsidRPr="00B66343">
        <w:t>Brown’s</w:t>
      </w:r>
      <w:r w:rsidR="009008AD" w:rsidRPr="008A3CCD">
        <w:t xml:space="preserve"> concept of knowledge about cognition </w:t>
      </w:r>
      <w:r w:rsidR="009008AD" w:rsidRPr="008A3CCD">
        <w:rPr>
          <w:lang w:eastAsia="zh-HK"/>
        </w:rPr>
        <w:t xml:space="preserve">is </w:t>
      </w:r>
      <w:proofErr w:type="gramStart"/>
      <w:r w:rsidR="00790BB8" w:rsidRPr="008A3CCD">
        <w:rPr>
          <w:lang w:eastAsia="zh-HK"/>
        </w:rPr>
        <w:t>similar to</w:t>
      </w:r>
      <w:proofErr w:type="gramEnd"/>
      <w:r w:rsidR="009008AD" w:rsidRPr="008A3CCD">
        <w:rPr>
          <w:lang w:eastAsia="zh-HK"/>
        </w:rPr>
        <w:t xml:space="preserve"> Flavel</w:t>
      </w:r>
      <w:r w:rsidR="009A7280" w:rsidRPr="008A3CCD">
        <w:rPr>
          <w:lang w:eastAsia="zh-HK"/>
        </w:rPr>
        <w:t>l</w:t>
      </w:r>
      <w:r w:rsidR="009008AD" w:rsidRPr="008A3CCD">
        <w:rPr>
          <w:lang w:eastAsia="zh-HK"/>
        </w:rPr>
        <w:t>’s concept of metacognitive knowledge</w:t>
      </w:r>
      <w:r w:rsidR="005858CA" w:rsidRPr="008A3CCD">
        <w:rPr>
          <w:lang w:eastAsia="zh-HK"/>
        </w:rPr>
        <w:t xml:space="preserve">, both concepts </w:t>
      </w:r>
      <w:r w:rsidR="0051007B" w:rsidRPr="008A3CCD">
        <w:rPr>
          <w:lang w:eastAsia="zh-HK"/>
        </w:rPr>
        <w:t>r</w:t>
      </w:r>
      <w:r w:rsidR="0051007B" w:rsidRPr="008A3CCD">
        <w:t xml:space="preserve">efer to what </w:t>
      </w:r>
      <w:r w:rsidR="00B203F8" w:rsidRPr="008A3CCD">
        <w:t>learners</w:t>
      </w:r>
      <w:r w:rsidR="0051007B" w:rsidRPr="008A3CCD">
        <w:t xml:space="preserve"> know about their own cognition or about cognition.</w:t>
      </w:r>
      <w:r w:rsidR="00B203F8" w:rsidRPr="007C5A96">
        <w:t xml:space="preserve"> </w:t>
      </w:r>
      <w:r w:rsidR="00BA68BF" w:rsidRPr="007C5A96">
        <w:t xml:space="preserve">Brown’s concept of regulation of cognition refers to a set of monitoring, </w:t>
      </w:r>
      <w:proofErr w:type="gramStart"/>
      <w:r w:rsidR="00BA68BF" w:rsidRPr="007C5A96">
        <w:t>regulating</w:t>
      </w:r>
      <w:proofErr w:type="gramEnd"/>
      <w:r w:rsidR="00BA68BF" w:rsidRPr="007C5A96">
        <w:t xml:space="preserve"> and orchestrating of cognitive activities that help students control their learning, which ethos to the interaction of the four elements of Flavel</w:t>
      </w:r>
      <w:r w:rsidR="00784AFE">
        <w:t>l</w:t>
      </w:r>
      <w:r w:rsidR="00BA68BF" w:rsidRPr="007C5A96">
        <w:t xml:space="preserve">’s model. </w:t>
      </w:r>
    </w:p>
    <w:p w14:paraId="6443B2AC" w14:textId="77777777" w:rsidR="00BA68BF" w:rsidRPr="007C5A96" w:rsidRDefault="00BA68BF" w:rsidP="00570D0B">
      <w:pPr>
        <w:spacing w:line="0" w:lineRule="atLeast"/>
        <w:ind w:firstLine="480"/>
        <w:jc w:val="both"/>
      </w:pPr>
    </w:p>
    <w:p w14:paraId="181E52BB" w14:textId="5C7123ED" w:rsidR="00BA68BF" w:rsidRPr="007C5A96" w:rsidRDefault="00567BBB" w:rsidP="00567BBB">
      <w:pPr>
        <w:spacing w:line="0" w:lineRule="atLeast"/>
        <w:ind w:firstLine="480"/>
        <w:jc w:val="both"/>
      </w:pPr>
      <w:r w:rsidRPr="00B66343">
        <w:t>The concepts of Flave</w:t>
      </w:r>
      <w:r w:rsidR="009A7280" w:rsidRPr="00B66343">
        <w:t>l</w:t>
      </w:r>
      <w:r w:rsidRPr="00B66343">
        <w:t>l’s and Brown’s metacognition models were tested and operationalized in many classroom researches</w:t>
      </w:r>
      <w:r w:rsidR="00D00E7C" w:rsidRPr="00B66343">
        <w:t xml:space="preserve"> (Schraw</w:t>
      </w:r>
      <w:r w:rsidR="009A7280" w:rsidRPr="00B66343">
        <w:t>,</w:t>
      </w:r>
      <w:r w:rsidR="00D00E7C" w:rsidRPr="00B66343">
        <w:t xml:space="preserve"> 1998; </w:t>
      </w:r>
      <w:proofErr w:type="spellStart"/>
      <w:r w:rsidR="00D00E7C" w:rsidRPr="00B66343">
        <w:t>Pintrich</w:t>
      </w:r>
      <w:proofErr w:type="spellEnd"/>
      <w:r w:rsidR="009A7280" w:rsidRPr="00B66343">
        <w:t>,</w:t>
      </w:r>
      <w:r w:rsidR="00D00E7C" w:rsidRPr="00B66343">
        <w:t xml:space="preserve"> 2002; and </w:t>
      </w:r>
      <w:proofErr w:type="spellStart"/>
      <w:r w:rsidR="00D00E7C" w:rsidRPr="00B66343">
        <w:t>Veenman</w:t>
      </w:r>
      <w:proofErr w:type="spellEnd"/>
      <w:r w:rsidR="009A7280" w:rsidRPr="00B66343">
        <w:t xml:space="preserve"> et al.,</w:t>
      </w:r>
      <w:r w:rsidR="00D00E7C" w:rsidRPr="00B66343">
        <w:t xml:space="preserve"> 2006)</w:t>
      </w:r>
      <w:r w:rsidRPr="00B66343">
        <w:t>. Some metacognitive teaching strategies were proposed, for examples, t</w:t>
      </w:r>
      <w:r w:rsidR="00570D0B" w:rsidRPr="00B66343">
        <w:t xml:space="preserve">eachers model their thinking process to enable learners to know about their cognitions, </w:t>
      </w:r>
      <w:bookmarkStart w:id="2" w:name="_Hlk46667683"/>
      <w:r w:rsidR="00570D0B" w:rsidRPr="00B66343">
        <w:t>engage students in though</w:t>
      </w:r>
      <w:r w:rsidR="003222E4" w:rsidRPr="00B66343">
        <w:t>t</w:t>
      </w:r>
      <w:r w:rsidR="00570D0B" w:rsidRPr="00B66343">
        <w:t xml:space="preserve">-provoking reflections through problem solving activities </w:t>
      </w:r>
      <w:bookmarkEnd w:id="2"/>
      <w:r w:rsidR="00570D0B" w:rsidRPr="00B66343">
        <w:t xml:space="preserve">and facilitate them to review their problem solving process are critical </w:t>
      </w:r>
      <w:r w:rsidR="00612A2D" w:rsidRPr="00B66343">
        <w:t>strategies to develop student metacognition</w:t>
      </w:r>
      <w:r w:rsidR="00570D0B" w:rsidRPr="00B66343">
        <w:t xml:space="preserve"> (Schraw</w:t>
      </w:r>
      <w:r w:rsidR="009A7280" w:rsidRPr="00B66343">
        <w:t>,</w:t>
      </w:r>
      <w:r w:rsidR="00570D0B" w:rsidRPr="00B66343">
        <w:t xml:space="preserve"> 1998; </w:t>
      </w:r>
      <w:proofErr w:type="spellStart"/>
      <w:r w:rsidR="00570D0B" w:rsidRPr="00B66343">
        <w:t>Veenman</w:t>
      </w:r>
      <w:proofErr w:type="spellEnd"/>
      <w:r w:rsidR="009A7280" w:rsidRPr="00B66343">
        <w:t xml:space="preserve"> et al.,</w:t>
      </w:r>
      <w:r w:rsidR="00570D0B" w:rsidRPr="00B66343">
        <w:t xml:space="preserve"> 2006)</w:t>
      </w:r>
      <w:r w:rsidR="00D00E7C" w:rsidRPr="00B66343">
        <w:t>; and</w:t>
      </w:r>
      <w:r w:rsidR="00570D0B" w:rsidRPr="00B66343">
        <w:t xml:space="preserve"> </w:t>
      </w:r>
      <w:r w:rsidR="00D00E7C" w:rsidRPr="00B66343">
        <w:t>f</w:t>
      </w:r>
      <w:r w:rsidR="00BA68BF" w:rsidRPr="00B66343">
        <w:t>acilitating students with an iteration process of plan-implementation-evaluation cycle</w:t>
      </w:r>
      <w:r w:rsidR="00BA68BF" w:rsidRPr="007C5A96">
        <w:t xml:space="preserve"> for problem solving enable </w:t>
      </w:r>
      <w:r w:rsidR="00612A2D" w:rsidRPr="007C5A96">
        <w:t>them</w:t>
      </w:r>
      <w:r w:rsidR="00BA68BF" w:rsidRPr="007C5A96">
        <w:t xml:space="preserve"> to regulate their cognitions for effective learning. </w:t>
      </w:r>
      <w:r w:rsidR="00612A2D" w:rsidRPr="007C5A96">
        <w:t xml:space="preserve">The researcher </w:t>
      </w:r>
      <w:r w:rsidRPr="007C5A96">
        <w:t>ad</w:t>
      </w:r>
      <w:r w:rsidR="00612A2D" w:rsidRPr="007C5A96">
        <w:t>o</w:t>
      </w:r>
      <w:r w:rsidRPr="007C5A96">
        <w:t xml:space="preserve">pted Schraw (1998), </w:t>
      </w:r>
      <w:proofErr w:type="spellStart"/>
      <w:r w:rsidRPr="007C5A96">
        <w:t>Pintrich</w:t>
      </w:r>
      <w:proofErr w:type="spellEnd"/>
      <w:r w:rsidRPr="007C5A96">
        <w:t xml:space="preserve"> (2002) and </w:t>
      </w:r>
      <w:proofErr w:type="spellStart"/>
      <w:r w:rsidRPr="007C5A96">
        <w:t>Veenman</w:t>
      </w:r>
      <w:proofErr w:type="spellEnd"/>
      <w:r w:rsidR="009A7280" w:rsidRPr="007C5A96">
        <w:t xml:space="preserve"> et al.</w:t>
      </w:r>
      <w:r w:rsidRPr="007C5A96">
        <w:t xml:space="preserve"> (2006)’s ideas of metacognitive teaching and summaries and o</w:t>
      </w:r>
      <w:r w:rsidR="00612A2D" w:rsidRPr="007C5A96">
        <w:t>perational</w:t>
      </w:r>
      <w:r w:rsidRPr="007C5A96">
        <w:t xml:space="preserve">ized into </w:t>
      </w:r>
      <w:r w:rsidR="00612A2D" w:rsidRPr="007C5A96">
        <w:t>five guiding principles for designing metacognitive teaching and learning activities</w:t>
      </w:r>
      <w:r w:rsidRPr="007C5A96">
        <w:t xml:space="preserve">. </w:t>
      </w:r>
      <w:r w:rsidR="004748A0">
        <w:t>They are m</w:t>
      </w:r>
      <w:r w:rsidR="004748A0" w:rsidRPr="004748A0">
        <w:t>odelling thinking process, thought-provoking reflections, reviewing thinking process, enabling self-regulation and motivational feedback</w:t>
      </w:r>
      <w:r w:rsidR="004748A0">
        <w:t>.</w:t>
      </w:r>
    </w:p>
    <w:p w14:paraId="4D1097BC" w14:textId="77777777" w:rsidR="00567BBB" w:rsidRPr="007C5A96" w:rsidRDefault="00567BBB" w:rsidP="00567BBB">
      <w:pPr>
        <w:spacing w:line="0" w:lineRule="atLeast"/>
        <w:ind w:firstLine="480"/>
        <w:jc w:val="both"/>
      </w:pPr>
    </w:p>
    <w:p w14:paraId="20F07158" w14:textId="613508F4" w:rsidR="00696F02" w:rsidRPr="007C5A96" w:rsidRDefault="00B517E8" w:rsidP="00C75A9E">
      <w:pPr>
        <w:spacing w:line="0" w:lineRule="atLeast"/>
        <w:ind w:firstLine="480"/>
        <w:jc w:val="both"/>
      </w:pPr>
      <w:r w:rsidRPr="007C5A96">
        <w:t xml:space="preserve">Modelling thinking process is </w:t>
      </w:r>
      <w:r>
        <w:t xml:space="preserve">a teaching strategy </w:t>
      </w:r>
      <w:r w:rsidRPr="007C5A96">
        <w:t xml:space="preserve">to visualize differential value of alternative strategies </w:t>
      </w:r>
      <w:r w:rsidR="006F2048">
        <w:t xml:space="preserve">in teacher mind </w:t>
      </w:r>
      <w:r w:rsidRPr="007C5A96">
        <w:t>for enhancing performance to develop students’ metacognitive knowledge.</w:t>
      </w:r>
      <w:r>
        <w:t xml:space="preserve"> </w:t>
      </w:r>
      <w:r w:rsidR="006F2048">
        <w:t>The k</w:t>
      </w:r>
      <w:r w:rsidR="003222E4" w:rsidRPr="007C5A96">
        <w:t xml:space="preserve">nowledge about cognition in teacher’s mind can be visualized by </w:t>
      </w:r>
      <w:r w:rsidR="00477A9D" w:rsidRPr="007C5A96">
        <w:t>teachers think-aloud to students</w:t>
      </w:r>
      <w:r w:rsidR="003222E4" w:rsidRPr="007C5A96">
        <w:t xml:space="preserve">. </w:t>
      </w:r>
      <w:r w:rsidR="006F2048" w:rsidRPr="007C5A96">
        <w:t>Modelling</w:t>
      </w:r>
      <w:r w:rsidR="00696F02" w:rsidRPr="007C5A96">
        <w:t xml:space="preserve"> is a teachers’ demonstration or imitation of a concept for students, so that the students learn by implicit learning (Haston,</w:t>
      </w:r>
      <w:r w:rsidR="008A3CCD">
        <w:t xml:space="preserve"> 2007). Metacognitive knowledge </w:t>
      </w:r>
      <w:r w:rsidR="00696F02" w:rsidRPr="007C5A96">
        <w:t xml:space="preserve">and regulation are tacit in nature, neither knowledge nor skills are necessarily made explicit (Schraw and </w:t>
      </w:r>
      <w:proofErr w:type="spellStart"/>
      <w:r w:rsidR="00696F02" w:rsidRPr="007C5A96">
        <w:t>Moshman</w:t>
      </w:r>
      <w:proofErr w:type="spellEnd"/>
      <w:r w:rsidR="00696F02" w:rsidRPr="007C5A96">
        <w:t xml:space="preserve">, 1995), therefore, teachers should embed metacognitive instruction in the content matter and include metacognition as a goal in teaching plans. They may delivery the content through think-aloud to visualize their minds. Think-aloud is an effective way to reveal and visualize the thinking processes of the teachers, such that </w:t>
      </w:r>
      <w:r w:rsidR="00017FFC" w:rsidRPr="007C5A96">
        <w:t>students</w:t>
      </w:r>
      <w:r w:rsidR="00696F02" w:rsidRPr="007C5A96">
        <w:t xml:space="preserve"> see teachers thinking processes by thinking aloud and describing their own reasons for selecting portfolio pieces (Laski, 2013).</w:t>
      </w:r>
    </w:p>
    <w:p w14:paraId="6DB65FC7" w14:textId="088539DA" w:rsidR="00C75A9E" w:rsidRPr="007C5A96" w:rsidRDefault="00C75A9E" w:rsidP="00DE0BF9">
      <w:pPr>
        <w:spacing w:line="0" w:lineRule="atLeast"/>
        <w:ind w:firstLine="480"/>
        <w:jc w:val="both"/>
      </w:pPr>
    </w:p>
    <w:p w14:paraId="65701998" w14:textId="30F3FA94" w:rsidR="00696F02" w:rsidRPr="007C5A96" w:rsidRDefault="00C75A9E" w:rsidP="00F772FE">
      <w:pPr>
        <w:spacing w:line="0" w:lineRule="atLeast"/>
        <w:ind w:firstLine="480"/>
        <w:jc w:val="both"/>
      </w:pPr>
      <w:r w:rsidRPr="007C5A96">
        <w:t>Provoking reflections</w:t>
      </w:r>
      <w:r w:rsidR="006F2048">
        <w:t xml:space="preserve"> is a teaching strategy to </w:t>
      </w:r>
      <w:r w:rsidR="00F772FE">
        <w:t>facilitate</w:t>
      </w:r>
      <w:r w:rsidR="006F2048">
        <w:t xml:space="preserve"> student</w:t>
      </w:r>
      <w:r w:rsidR="00F772FE">
        <w:t>s</w:t>
      </w:r>
      <w:r w:rsidR="006F2048">
        <w:t xml:space="preserve"> to r</w:t>
      </w:r>
      <w:r w:rsidR="00477A9D" w:rsidRPr="007C5A96">
        <w:t>egulat</w:t>
      </w:r>
      <w:r w:rsidR="006F2048">
        <w:t>e their</w:t>
      </w:r>
      <w:r w:rsidR="00477A9D" w:rsidRPr="007C5A96">
        <w:t xml:space="preserve"> cognition</w:t>
      </w:r>
      <w:r w:rsidR="006F2048">
        <w:t xml:space="preserve"> through question</w:t>
      </w:r>
      <w:r w:rsidR="00F772FE">
        <w:t>ing</w:t>
      </w:r>
      <w:r w:rsidR="006F2048">
        <w:t xml:space="preserve"> and engaging student</w:t>
      </w:r>
      <w:r w:rsidR="00F772FE">
        <w:t>s</w:t>
      </w:r>
      <w:r w:rsidR="006F2048">
        <w:t xml:space="preserve"> in problem solving activities. </w:t>
      </w:r>
      <w:r w:rsidR="00017FFC" w:rsidRPr="007C5A96">
        <w:t xml:space="preserve">Such regulation process can </w:t>
      </w:r>
      <w:r w:rsidR="00F772FE">
        <w:t xml:space="preserve">also </w:t>
      </w:r>
      <w:r w:rsidR="00017FFC" w:rsidRPr="007C5A96">
        <w:t xml:space="preserve">be triggered by think-pair-share </w:t>
      </w:r>
      <w:r w:rsidR="00A06AD3" w:rsidRPr="007C5A96">
        <w:t>activities</w:t>
      </w:r>
      <w:r w:rsidR="00017FFC" w:rsidRPr="007C5A96">
        <w:t xml:space="preserve">, in which teachers </w:t>
      </w:r>
      <w:r w:rsidR="00A06AD3" w:rsidRPr="007C5A96">
        <w:t>group students to discuss solutions for problem solving, encourage them to share their thinking process and encourage students to ask questions.</w:t>
      </w:r>
      <w:r w:rsidR="00017FFC" w:rsidRPr="007C5A96">
        <w:t xml:space="preserve"> </w:t>
      </w:r>
      <w:r w:rsidR="00A06AD3" w:rsidRPr="007C5A96">
        <w:t xml:space="preserve">Organizing the </w:t>
      </w:r>
      <w:r w:rsidR="00A06AD3" w:rsidRPr="00B66343">
        <w:t>discussion activities of metacognitive knowledge in part of the everyday discourse can helps students to foster a language in which they can talk about their learnin</w:t>
      </w:r>
      <w:r w:rsidR="000A02E0" w:rsidRPr="00B66343">
        <w:t>g and cognition (</w:t>
      </w:r>
      <w:proofErr w:type="spellStart"/>
      <w:r w:rsidR="000A02E0" w:rsidRPr="00B66343">
        <w:t>Pintrich</w:t>
      </w:r>
      <w:proofErr w:type="spellEnd"/>
      <w:r w:rsidR="000A02E0" w:rsidRPr="00B66343">
        <w:t>, 2002, p.</w:t>
      </w:r>
      <w:r w:rsidR="00A06AD3" w:rsidRPr="00B66343">
        <w:t xml:space="preserve">223). </w:t>
      </w:r>
      <w:r w:rsidR="00017FFC" w:rsidRPr="00B66343">
        <w:t xml:space="preserve">Questioning </w:t>
      </w:r>
      <w:r w:rsidR="00F772FE">
        <w:t>and problem-based learning are</w:t>
      </w:r>
      <w:r w:rsidR="00017FFC" w:rsidRPr="00B66343">
        <w:t xml:space="preserve"> key</w:t>
      </w:r>
      <w:r w:rsidR="00F772FE">
        <w:t>s</w:t>
      </w:r>
      <w:r w:rsidR="00017FFC" w:rsidRPr="00B66343">
        <w:t xml:space="preserve"> to</w:t>
      </w:r>
      <w:r w:rsidR="00696F02" w:rsidRPr="00B66343">
        <w:t xml:space="preserve"> facilitate students’ thinking and directs them to the learning goals. The design of or construct the questions </w:t>
      </w:r>
      <w:r w:rsidR="00017FFC" w:rsidRPr="00B66343">
        <w:t>could</w:t>
      </w:r>
      <w:r w:rsidR="00696F02" w:rsidRPr="007C5A96">
        <w:t xml:space="preserve"> be around the six cognitive levels</w:t>
      </w:r>
      <w:r w:rsidR="000A02E0">
        <w:t xml:space="preserve"> in Bloom’s taxonomy (Larson &amp;</w:t>
      </w:r>
      <w:r w:rsidR="00696F02" w:rsidRPr="007C5A96">
        <w:t xml:space="preserve"> Keiper, 2013)</w:t>
      </w:r>
      <w:r w:rsidR="00F772FE">
        <w:t>.</w:t>
      </w:r>
    </w:p>
    <w:p w14:paraId="7A090AAD" w14:textId="3F8AF560" w:rsidR="00C75A9E" w:rsidRPr="007C5A96" w:rsidRDefault="00C75A9E" w:rsidP="00DE0BF9">
      <w:pPr>
        <w:spacing w:line="0" w:lineRule="atLeast"/>
        <w:ind w:firstLine="480"/>
        <w:jc w:val="both"/>
      </w:pPr>
    </w:p>
    <w:p w14:paraId="4189E46A" w14:textId="6BBB29DE" w:rsidR="003960AB" w:rsidRPr="007C5A96" w:rsidRDefault="00C75A9E" w:rsidP="00512D93">
      <w:pPr>
        <w:spacing w:line="0" w:lineRule="atLeast"/>
        <w:ind w:firstLine="480"/>
        <w:jc w:val="both"/>
      </w:pPr>
      <w:bookmarkStart w:id="3" w:name="_Hlk46661733"/>
      <w:r w:rsidRPr="007C5A96">
        <w:t>Reviewing thinking process</w:t>
      </w:r>
      <w:r w:rsidR="00F772FE">
        <w:t xml:space="preserve"> is a teaching strategy that </w:t>
      </w:r>
      <w:bookmarkEnd w:id="3"/>
      <w:r w:rsidR="00F772FE">
        <w:t>p</w:t>
      </w:r>
      <w:r w:rsidR="003960AB" w:rsidRPr="007C5A96">
        <w:t>rovid</w:t>
      </w:r>
      <w:r w:rsidR="00F772FE">
        <w:t>es</w:t>
      </w:r>
      <w:r w:rsidR="003960AB" w:rsidRPr="007C5A96">
        <w:t xml:space="preserve"> opportunities to students to review and present their thinking process for problem solving can facilitate them to regulate their cognitions. Such activities may include, teacher arranges presentation to students for report explicitly their think process, after that teacher may assess students’ prior knowledge and listen carefully to students’ descriptions of their cognitive process and learning. Student thinking aloud their ideas in the presentation, error detection activities can help students to regulate their cognition for effective learning.   </w:t>
      </w:r>
    </w:p>
    <w:p w14:paraId="28A85103" w14:textId="77777777" w:rsidR="00C75A9E" w:rsidRPr="007C5A96" w:rsidRDefault="00C75A9E" w:rsidP="00DE0BF9">
      <w:pPr>
        <w:spacing w:line="0" w:lineRule="atLeast"/>
        <w:ind w:firstLine="480"/>
        <w:jc w:val="both"/>
      </w:pPr>
    </w:p>
    <w:p w14:paraId="0AFCD9B7" w14:textId="0B2CF299" w:rsidR="00267BEE" w:rsidRPr="00B66343" w:rsidRDefault="00F772FE" w:rsidP="00512D93">
      <w:pPr>
        <w:spacing w:line="0" w:lineRule="atLeast"/>
        <w:ind w:firstLine="480"/>
        <w:jc w:val="both"/>
      </w:pPr>
      <w:r>
        <w:t xml:space="preserve">Facilitating </w:t>
      </w:r>
      <w:r w:rsidR="00C75A9E" w:rsidRPr="007C5A96">
        <w:t xml:space="preserve">self-regulation </w:t>
      </w:r>
      <w:r>
        <w:t xml:space="preserve">is a teaching strategy to </w:t>
      </w:r>
      <w:r w:rsidR="007F5E0A">
        <w:t>e</w:t>
      </w:r>
      <w:r w:rsidR="004B4418" w:rsidRPr="007C5A96">
        <w:t>nable learners to monitor, regulate and orchestrate their own cognitive activities</w:t>
      </w:r>
      <w:r w:rsidR="007F5E0A">
        <w:t xml:space="preserve"> which </w:t>
      </w:r>
      <w:r w:rsidR="004B4418" w:rsidRPr="007C5A96">
        <w:t xml:space="preserve">is the core mission of metacognitive teaching. Such mission can be realized by conducting self-regulated teaching and learning activities to develop learners’ abilities </w:t>
      </w:r>
      <w:r w:rsidR="004B4418" w:rsidRPr="00B66343">
        <w:t xml:space="preserve">of planning, monitoring, and evaluating their learning progress. Self-regulated teaching and learning activities develop students’ abilities of planning, </w:t>
      </w:r>
      <w:proofErr w:type="gramStart"/>
      <w:r w:rsidR="004B4418" w:rsidRPr="00B66343">
        <w:t>monitoring</w:t>
      </w:r>
      <w:proofErr w:type="gramEnd"/>
      <w:r w:rsidR="004B4418" w:rsidRPr="00B66343">
        <w:t xml:space="preserve"> and evaluating their learning progress (</w:t>
      </w:r>
      <w:proofErr w:type="spellStart"/>
      <w:r w:rsidR="004B4418" w:rsidRPr="00B66343">
        <w:t>Pintrich</w:t>
      </w:r>
      <w:proofErr w:type="spellEnd"/>
      <w:r w:rsidR="00F9607E" w:rsidRPr="00B66343">
        <w:t>,</w:t>
      </w:r>
      <w:r w:rsidR="004B4418" w:rsidRPr="00B66343">
        <w:t xml:space="preserve"> 2002; </w:t>
      </w:r>
      <w:proofErr w:type="spellStart"/>
      <w:r w:rsidR="004B4418" w:rsidRPr="00B66343">
        <w:t>Cheng</w:t>
      </w:r>
      <w:r w:rsidR="00F9607E" w:rsidRPr="00B66343">
        <w:t>,</w:t>
      </w:r>
      <w:proofErr w:type="spellEnd"/>
      <w:r w:rsidR="004B4418" w:rsidRPr="00B66343">
        <w:t xml:space="preserve"> 2011</w:t>
      </w:r>
      <w:r w:rsidR="00480A05" w:rsidRPr="00B66343">
        <w:t>a</w:t>
      </w:r>
      <w:r w:rsidR="004B4418" w:rsidRPr="00B66343">
        <w:t xml:space="preserve">). </w:t>
      </w:r>
      <w:r w:rsidR="00C75A9E" w:rsidRPr="00B66343">
        <w:t>Such activities include help student to set learning goals, formulate learning strategies, to carry out self-questioning for understanding, and to detect their own errors. Teachers could conduct activities and use regulation checklists, strategy evaluation matrices to help students to check if their goals are achieved to develop student’s regulated abilities</w:t>
      </w:r>
      <w:r w:rsidR="007F5E0A">
        <w:t>.</w:t>
      </w:r>
      <w:r w:rsidR="003039B7" w:rsidRPr="00B66343">
        <w:t xml:space="preserve"> </w:t>
      </w:r>
    </w:p>
    <w:p w14:paraId="29E8A04C" w14:textId="77777777" w:rsidR="00267BEE" w:rsidRPr="00B66343" w:rsidRDefault="00267BEE" w:rsidP="00DE0BF9">
      <w:pPr>
        <w:spacing w:line="0" w:lineRule="atLeast"/>
        <w:ind w:firstLine="480"/>
        <w:jc w:val="both"/>
      </w:pPr>
    </w:p>
    <w:p w14:paraId="61290C1C" w14:textId="41A39F0E" w:rsidR="004B4418" w:rsidRPr="00B66343" w:rsidRDefault="007F5E0A" w:rsidP="00512D93">
      <w:pPr>
        <w:spacing w:line="0" w:lineRule="atLeast"/>
        <w:ind w:firstLine="480"/>
        <w:jc w:val="both"/>
      </w:pPr>
      <w:r>
        <w:t>Providing m</w:t>
      </w:r>
      <w:r w:rsidR="00267BEE" w:rsidRPr="00B66343">
        <w:t>otivational feedback</w:t>
      </w:r>
      <w:r>
        <w:t xml:space="preserve"> to learners is a strategy to enable learner to have positive a learning experience to sustain their metacognitive learning.</w:t>
      </w:r>
      <w:r w:rsidR="00267BEE" w:rsidRPr="00B66343">
        <w:t xml:space="preserve"> </w:t>
      </w:r>
      <w:r w:rsidR="0090610C" w:rsidRPr="007C5A96">
        <w:t xml:space="preserve">Favell and Brown both </w:t>
      </w:r>
      <w:r>
        <w:t xml:space="preserve">emphasis </w:t>
      </w:r>
      <w:r w:rsidR="0090610C" w:rsidRPr="007C5A96">
        <w:t xml:space="preserve">on the important of motivation for metacognitive learning. </w:t>
      </w:r>
      <w:r w:rsidR="004B4418" w:rsidRPr="007C5A96">
        <w:t xml:space="preserve">Flavell’s concept of metacognitive experiences is about a motivational aspect of students’ learning. </w:t>
      </w:r>
      <w:r w:rsidR="00B66343" w:rsidRPr="00B66343">
        <w:t xml:space="preserve">A high-metacognitive classroom as described by Kohen and </w:t>
      </w:r>
      <w:proofErr w:type="spellStart"/>
      <w:r w:rsidR="00B66343" w:rsidRPr="00B66343">
        <w:t>Kramarski</w:t>
      </w:r>
      <w:proofErr w:type="spellEnd"/>
      <w:r w:rsidR="00B66343" w:rsidRPr="00B66343">
        <w:t xml:space="preserve"> (2018, p.280) “encourages student-</w:t>
      </w:r>
      <w:proofErr w:type="spellStart"/>
      <w:r w:rsidR="00B66343" w:rsidRPr="00B66343">
        <w:t>centered</w:t>
      </w:r>
      <w:proofErr w:type="spellEnd"/>
      <w:r w:rsidR="00B66343" w:rsidRPr="00B66343">
        <w:t xml:space="preserve"> learning, in which knowledge typically develops out of students’ needs and interests.”</w:t>
      </w:r>
      <w:r w:rsidR="00B66343">
        <w:t xml:space="preserve">. </w:t>
      </w:r>
      <w:proofErr w:type="gramStart"/>
      <w:r w:rsidR="00B66343">
        <w:t>T</w:t>
      </w:r>
      <w:r w:rsidR="004B4418" w:rsidRPr="007C5A96">
        <w:t>herefore</w:t>
      </w:r>
      <w:proofErr w:type="gramEnd"/>
      <w:r w:rsidR="004B4418" w:rsidRPr="007C5A96">
        <w:t xml:space="preserve"> teachers’ positive feedback for promoting students’ self-efficacy and motivation is an essential principle for metacognitive teaching. Such pedagogies include positively evaluate students’ efforts, emphasizing the learning process rather than grades and helping students concretize their goals and foster a metacognitive learning environment</w:t>
      </w:r>
      <w:r w:rsidR="00205CCA" w:rsidRPr="007C5A96">
        <w:t>, p</w:t>
      </w:r>
      <w:r w:rsidR="004B4418" w:rsidRPr="007C5A96">
        <w:t xml:space="preserve">romoting the </w:t>
      </w:r>
      <w:r w:rsidR="004B4418" w:rsidRPr="00B66343">
        <w:t>use of metacognitive language and strategies, and reward the efforts made in learning.</w:t>
      </w:r>
    </w:p>
    <w:p w14:paraId="1C366A7D" w14:textId="77777777" w:rsidR="00267BEE" w:rsidRPr="00B66343" w:rsidRDefault="00267BEE" w:rsidP="00DE0BF9">
      <w:pPr>
        <w:spacing w:line="0" w:lineRule="atLeast"/>
        <w:ind w:firstLine="480"/>
        <w:jc w:val="both"/>
      </w:pPr>
    </w:p>
    <w:p w14:paraId="52175659" w14:textId="5E72CDF5" w:rsidR="00205CCA" w:rsidRPr="007C5A96" w:rsidRDefault="003039B7" w:rsidP="00205CCA">
      <w:pPr>
        <w:spacing w:line="0" w:lineRule="atLeast"/>
        <w:ind w:firstLine="480"/>
        <w:jc w:val="both"/>
      </w:pPr>
      <w:r w:rsidRPr="00B66343">
        <w:t xml:space="preserve">The above five </w:t>
      </w:r>
      <w:r w:rsidR="00033010" w:rsidRPr="00B66343">
        <w:t xml:space="preserve">metacognitive </w:t>
      </w:r>
      <w:r w:rsidRPr="00B66343">
        <w:t xml:space="preserve">teaching </w:t>
      </w:r>
      <w:r w:rsidR="000F2322" w:rsidRPr="00B66343">
        <w:t xml:space="preserve">principles </w:t>
      </w:r>
      <w:r w:rsidRPr="00B66343">
        <w:t xml:space="preserve">for metacognitive teaching were derived as the interventions of the </w:t>
      </w:r>
      <w:r w:rsidR="00205CCA" w:rsidRPr="00B66343">
        <w:t xml:space="preserve">classroom </w:t>
      </w:r>
      <w:r w:rsidR="00A83C0B" w:rsidRPr="00B66343">
        <w:t>research-based</w:t>
      </w:r>
      <w:r w:rsidRPr="00B66343">
        <w:t xml:space="preserve"> course</w:t>
      </w:r>
      <w:r w:rsidR="00205CCA" w:rsidRPr="00B66343">
        <w:t>. Research show that application</w:t>
      </w:r>
      <w:r w:rsidR="001933D5" w:rsidRPr="00B66343">
        <w:t xml:space="preserve"> of metacognitive strategies framework in lesson planning has positive effect on developing pre-service teachers</w:t>
      </w:r>
      <w:r w:rsidR="00D047E2" w:rsidRPr="00B66343">
        <w:t>’</w:t>
      </w:r>
      <w:r w:rsidR="001933D5" w:rsidRPr="00B66343">
        <w:t xml:space="preserve"> skills in lesson planning. (</w:t>
      </w:r>
      <w:r w:rsidR="00F9607E" w:rsidRPr="00B66343">
        <w:t>Liyanage</w:t>
      </w:r>
      <w:r w:rsidR="000A02E0" w:rsidRPr="00B66343">
        <w:t>,</w:t>
      </w:r>
      <w:r w:rsidR="00F9607E" w:rsidRPr="00B66343">
        <w:t xml:space="preserve"> &amp; Bartlett</w:t>
      </w:r>
      <w:r w:rsidR="001933D5" w:rsidRPr="00B66343">
        <w:t>, 2010)</w:t>
      </w:r>
      <w:r w:rsidR="00D047E2" w:rsidRPr="00B66343">
        <w:t>.</w:t>
      </w:r>
      <w:r w:rsidR="001933D5" w:rsidRPr="00B66343">
        <w:t xml:space="preserve"> </w:t>
      </w:r>
      <w:r w:rsidR="00477A9D" w:rsidRPr="00B66343">
        <w:t>This study evalu</w:t>
      </w:r>
      <w:r w:rsidR="00477A9D" w:rsidRPr="00B66343">
        <w:rPr>
          <w:lang w:eastAsia="zh-HK"/>
        </w:rPr>
        <w:t>ates if these five principles of metacognitive teaching could be learned and internalized by of preservice teacher through the Lesson Study approach in a classroom research course.</w:t>
      </w:r>
      <w:r w:rsidR="00477A9D" w:rsidRPr="00B66343">
        <w:t xml:space="preserve"> The research question of this study is “to what extent does Lesson Study approach nurture pre-service teachers metacognitive teaching skills?”</w:t>
      </w:r>
      <w:r w:rsidR="00477A9D" w:rsidRPr="007C5A96">
        <w:t xml:space="preserve">  </w:t>
      </w:r>
    </w:p>
    <w:p w14:paraId="13EBB167" w14:textId="229C94CC" w:rsidR="00E21A00" w:rsidRDefault="00E21A00" w:rsidP="00BF7D09">
      <w:pPr>
        <w:spacing w:line="0" w:lineRule="atLeast"/>
      </w:pPr>
    </w:p>
    <w:p w14:paraId="6C051B91" w14:textId="77777777" w:rsidR="00512D93" w:rsidRPr="007C5A96" w:rsidRDefault="00512D93" w:rsidP="00BF7D09">
      <w:pPr>
        <w:spacing w:line="0" w:lineRule="atLeast"/>
      </w:pPr>
    </w:p>
    <w:p w14:paraId="540171D7" w14:textId="77777777" w:rsidR="00231F58" w:rsidRPr="00512D93" w:rsidRDefault="00231F58" w:rsidP="00BF7D09">
      <w:pPr>
        <w:spacing w:line="0" w:lineRule="atLeast"/>
        <w:rPr>
          <w:b/>
          <w:bCs/>
        </w:rPr>
      </w:pPr>
      <w:r w:rsidRPr="00512D93">
        <w:rPr>
          <w:b/>
          <w:bCs/>
        </w:rPr>
        <w:lastRenderedPageBreak/>
        <w:t>Methodology</w:t>
      </w:r>
    </w:p>
    <w:p w14:paraId="56793280" w14:textId="776C330F" w:rsidR="00EA7E65" w:rsidRPr="007C5A96" w:rsidRDefault="00403A9F" w:rsidP="00E21A00">
      <w:pPr>
        <w:spacing w:line="0" w:lineRule="atLeast"/>
        <w:ind w:firstLine="480"/>
        <w:jc w:val="both"/>
      </w:pPr>
      <w:r w:rsidRPr="007C5A96">
        <w:t xml:space="preserve">The subject of this study is 100 pre-service teachers </w:t>
      </w:r>
      <w:proofErr w:type="gramStart"/>
      <w:r w:rsidRPr="007C5A96">
        <w:t>of</w:t>
      </w:r>
      <w:proofErr w:type="gramEnd"/>
      <w:r w:rsidRPr="007C5A96">
        <w:t xml:space="preserve"> an Education University in Hong Kong.  </w:t>
      </w:r>
      <w:r w:rsidR="00477A9D" w:rsidRPr="007C5A96">
        <w:t xml:space="preserve">An experimental design with a control group </w:t>
      </w:r>
      <w:r w:rsidRPr="007C5A96">
        <w:t>(N=50) and experimental</w:t>
      </w:r>
      <w:r w:rsidR="00477A9D" w:rsidRPr="007C5A96">
        <w:t xml:space="preserve"> group </w:t>
      </w:r>
      <w:r w:rsidRPr="007C5A96">
        <w:t xml:space="preserve">(N=60) </w:t>
      </w:r>
      <w:r w:rsidR="00477A9D" w:rsidRPr="007C5A96">
        <w:t xml:space="preserve">was adopted as the research method. </w:t>
      </w:r>
      <w:r w:rsidR="00231F58" w:rsidRPr="007C5A96">
        <w:t xml:space="preserve">The course </w:t>
      </w:r>
      <w:r w:rsidRPr="007C5A96">
        <w:t xml:space="preserve">for the experimental group </w:t>
      </w:r>
      <w:r w:rsidR="00231F58" w:rsidRPr="007C5A96">
        <w:t>comprise</w:t>
      </w:r>
      <w:r w:rsidR="00512D93">
        <w:t>d</w:t>
      </w:r>
      <w:r w:rsidR="00231F58" w:rsidRPr="007C5A96">
        <w:t xml:space="preserve"> a series of theory-based tutorials, supportive consultation meetings, and a research lesson practicum</w:t>
      </w:r>
      <w:r w:rsidR="00512D93">
        <w:t>, while the course for the control group involved campus-based lectures and tutorials for delivering teaching methods.</w:t>
      </w:r>
      <w:r w:rsidR="00231F58" w:rsidRPr="007C5A96">
        <w:t xml:space="preserve"> During the course</w:t>
      </w:r>
      <w:r w:rsidR="00512D93">
        <w:t xml:space="preserve"> for the experimental group</w:t>
      </w:r>
      <w:r w:rsidR="00231F58" w:rsidRPr="007C5A96">
        <w:t xml:space="preserve">, </w:t>
      </w:r>
      <w:r w:rsidR="00512D93">
        <w:t xml:space="preserve">the </w:t>
      </w:r>
      <w:r w:rsidR="008C15F4" w:rsidRPr="007C5A96">
        <w:t xml:space="preserve">pre-service teachers were </w:t>
      </w:r>
      <w:r w:rsidR="00231F58" w:rsidRPr="007C5A96">
        <w:t xml:space="preserve">taught the theories and practice of metacognitive teaching in tutorials, and then work together in small subject groups with support and guidance from the instructors to implement the Lesson Study project in the partnership schools. All students </w:t>
      </w:r>
      <w:proofErr w:type="gramStart"/>
      <w:r w:rsidR="00231F58" w:rsidRPr="007C5A96">
        <w:t>have to</w:t>
      </w:r>
      <w:proofErr w:type="gramEnd"/>
      <w:r w:rsidR="00231F58" w:rsidRPr="007C5A96">
        <w:t xml:space="preserve"> take part in the Lesson Study groups, contributing to the planning and evaluation of the research lesson as needed to implement one lesson observation and one research lessons. </w:t>
      </w:r>
      <w:r w:rsidRPr="007C5A96">
        <w:t>The 60</w:t>
      </w:r>
      <w:r w:rsidR="00231F58" w:rsidRPr="007C5A96">
        <w:t xml:space="preserve"> students </w:t>
      </w:r>
      <w:proofErr w:type="gramStart"/>
      <w:r w:rsidR="00231F58" w:rsidRPr="007C5A96">
        <w:t>w</w:t>
      </w:r>
      <w:r w:rsidR="00512D93">
        <w:t>ere</w:t>
      </w:r>
      <w:proofErr w:type="gramEnd"/>
      <w:r w:rsidR="00231F58" w:rsidRPr="007C5A96">
        <w:t xml:space="preserve"> be divided into 8 groups mainly according to their subject areas, each group containing around </w:t>
      </w:r>
      <w:r w:rsidRPr="007C5A96">
        <w:t>7-8</w:t>
      </w:r>
      <w:r w:rsidR="00231F58" w:rsidRPr="007C5A96">
        <w:t xml:space="preserve"> students to work on one Lesson Study case.</w:t>
      </w:r>
      <w:r w:rsidR="00EA7E65" w:rsidRPr="007C5A96">
        <w:t xml:space="preserve"> </w:t>
      </w:r>
    </w:p>
    <w:p w14:paraId="029339D6" w14:textId="77777777" w:rsidR="00EA7E65" w:rsidRPr="007C5A96" w:rsidRDefault="00EA7E65" w:rsidP="00E21A00">
      <w:pPr>
        <w:spacing w:line="0" w:lineRule="atLeast"/>
        <w:ind w:firstLine="480"/>
        <w:jc w:val="both"/>
      </w:pPr>
    </w:p>
    <w:p w14:paraId="5CFBAB40" w14:textId="7EAB88B0" w:rsidR="006722FE" w:rsidRPr="007C5A96" w:rsidRDefault="00403A9F" w:rsidP="00403A9F">
      <w:pPr>
        <w:spacing w:line="0" w:lineRule="atLeast"/>
        <w:ind w:firstLine="480"/>
        <w:jc w:val="both"/>
      </w:pPr>
      <w:r w:rsidRPr="007C5A96">
        <w:t xml:space="preserve">Pre-post questionnaire survey on metacognitive teaching was applied to collected data from both control group and experimental group. </w:t>
      </w:r>
      <w:r w:rsidR="00EA7E65" w:rsidRPr="007C5A96">
        <w:t xml:space="preserve">All the pre-service teachers of the course were invited to fill in a self-developed questionnaire for </w:t>
      </w:r>
      <w:r w:rsidRPr="007C5A96">
        <w:t>the</w:t>
      </w:r>
      <w:r w:rsidR="00EA7E65" w:rsidRPr="007C5A96">
        <w:t xml:space="preserve"> pre-post</w:t>
      </w:r>
      <w:r w:rsidR="008C15F4" w:rsidRPr="007C5A96">
        <w:t xml:space="preserve"> survey</w:t>
      </w:r>
      <w:r w:rsidR="00EA7E65" w:rsidRPr="007C5A96">
        <w:t xml:space="preserve">. </w:t>
      </w:r>
      <w:r w:rsidR="00EA7E65" w:rsidRPr="00B66343">
        <w:t xml:space="preserve">The </w:t>
      </w:r>
      <w:r w:rsidR="00276309" w:rsidRPr="00B66343">
        <w:t>questionnaire was based on five scales that were constructed to measure the variables of metacognitive teaching principles. In order to develop valid items for these scales, the researcher conducte</w:t>
      </w:r>
      <w:r w:rsidR="00F9607E" w:rsidRPr="00B66343">
        <w:t>d a content analysis of the Flav</w:t>
      </w:r>
      <w:r w:rsidR="00276309" w:rsidRPr="00B66343">
        <w:t>el</w:t>
      </w:r>
      <w:r w:rsidR="00F9607E" w:rsidRPr="00B66343">
        <w:t>l</w:t>
      </w:r>
      <w:r w:rsidR="00EA7E65" w:rsidRPr="00B66343">
        <w:t>’s</w:t>
      </w:r>
      <w:r w:rsidR="00276309" w:rsidRPr="00B66343">
        <w:t xml:space="preserve"> </w:t>
      </w:r>
      <w:r w:rsidR="00EA7E65" w:rsidRPr="00B66343">
        <w:t>(197</w:t>
      </w:r>
      <w:r w:rsidR="00F9607E" w:rsidRPr="00B66343">
        <w:t>9</w:t>
      </w:r>
      <w:r w:rsidR="00EA7E65" w:rsidRPr="00B66343">
        <w:t xml:space="preserve">) </w:t>
      </w:r>
      <w:r w:rsidR="00276309" w:rsidRPr="00B66343">
        <w:t>and Brown</w:t>
      </w:r>
      <w:r w:rsidR="00EA7E65" w:rsidRPr="00B66343">
        <w:t>’s</w:t>
      </w:r>
      <w:r w:rsidR="00276309" w:rsidRPr="00B66343">
        <w:t xml:space="preserve"> model </w:t>
      </w:r>
      <w:r w:rsidR="00EA7E65" w:rsidRPr="00B66343">
        <w:t>(198</w:t>
      </w:r>
      <w:r w:rsidR="00497966" w:rsidRPr="00B66343">
        <w:t>7</w:t>
      </w:r>
      <w:r w:rsidR="00EA7E65" w:rsidRPr="00B66343">
        <w:t xml:space="preserve">) </w:t>
      </w:r>
      <w:r w:rsidR="00276309" w:rsidRPr="00B66343">
        <w:t xml:space="preserve">of metacognition and the studies from </w:t>
      </w:r>
      <w:r w:rsidR="00276309" w:rsidRPr="00B66343">
        <w:rPr>
          <w:lang w:eastAsia="zh-HK"/>
        </w:rPr>
        <w:t xml:space="preserve">Schraw (1998), </w:t>
      </w:r>
      <w:proofErr w:type="spellStart"/>
      <w:r w:rsidR="00276309" w:rsidRPr="00B66343">
        <w:rPr>
          <w:lang w:eastAsia="zh-HK"/>
        </w:rPr>
        <w:t>Pintrich</w:t>
      </w:r>
      <w:proofErr w:type="spellEnd"/>
      <w:r w:rsidR="00276309" w:rsidRPr="00B66343">
        <w:rPr>
          <w:lang w:eastAsia="zh-HK"/>
        </w:rPr>
        <w:t xml:space="preserve"> (2002) and </w:t>
      </w:r>
      <w:proofErr w:type="spellStart"/>
      <w:r w:rsidR="00276309" w:rsidRPr="00B66343">
        <w:rPr>
          <w:lang w:eastAsia="zh-HK"/>
        </w:rPr>
        <w:t>Veenman</w:t>
      </w:r>
      <w:proofErr w:type="spellEnd"/>
      <w:r w:rsidR="00276309" w:rsidRPr="00B66343">
        <w:rPr>
          <w:lang w:eastAsia="zh-HK"/>
        </w:rPr>
        <w:t xml:space="preserve"> (2006). </w:t>
      </w:r>
      <w:r w:rsidR="00276309" w:rsidRPr="00B66343">
        <w:t xml:space="preserve">The principles were then converted into statements for use in the questionnaire. The data was collected directly from the participants by means of the questionnaire. The questionnaire contained </w:t>
      </w:r>
      <w:r w:rsidR="0055301C">
        <w:t>24</w:t>
      </w:r>
      <w:r w:rsidR="00276309" w:rsidRPr="00B66343">
        <w:rPr>
          <w:color w:val="FF0000"/>
        </w:rPr>
        <w:t xml:space="preserve"> </w:t>
      </w:r>
      <w:r w:rsidR="00276309" w:rsidRPr="00BC286F">
        <w:t>questions</w:t>
      </w:r>
      <w:r w:rsidR="00276309" w:rsidRPr="00B66343">
        <w:t>. Likert six-point scales were used in both sections to measure the variables. Likert scales are commonly used in</w:t>
      </w:r>
      <w:r w:rsidR="00276309" w:rsidRPr="007C5A96">
        <w:t xml:space="preserve"> attitudinal research. The Likert scale assumes that</w:t>
      </w:r>
      <w:r w:rsidRPr="007C5A96">
        <w:t xml:space="preserve"> </w:t>
      </w:r>
      <w:r w:rsidR="00276309" w:rsidRPr="007C5A96">
        <w:t>the difference between answering agree strongly and agree is the same as between answering agree and neither agree nor disagree (Likert, 1932).</w:t>
      </w:r>
    </w:p>
    <w:p w14:paraId="7C111A7B" w14:textId="77777777" w:rsidR="00403A9F" w:rsidRPr="007C5A96" w:rsidRDefault="00403A9F" w:rsidP="00403A9F">
      <w:pPr>
        <w:spacing w:line="0" w:lineRule="atLeast"/>
        <w:ind w:firstLine="480"/>
        <w:jc w:val="both"/>
      </w:pPr>
    </w:p>
    <w:p w14:paraId="2C6801EC" w14:textId="03C2FF91" w:rsidR="00231F58" w:rsidRPr="007C5A96" w:rsidRDefault="0055301C" w:rsidP="00276309">
      <w:pPr>
        <w:spacing w:line="0" w:lineRule="atLeast"/>
        <w:ind w:firstLine="480"/>
        <w:jc w:val="both"/>
      </w:pPr>
      <w:r>
        <w:t xml:space="preserve">Exploratory </w:t>
      </w:r>
      <w:r w:rsidR="00403A9F" w:rsidRPr="007C5A96">
        <w:t>factor analysis (</w:t>
      </w:r>
      <w:r>
        <w:t>E</w:t>
      </w:r>
      <w:r w:rsidR="00403A9F" w:rsidRPr="007C5A96">
        <w:t xml:space="preserve">FA) and reliability test was applied to test the constructed validity and reliability of the instrument. </w:t>
      </w:r>
      <w:r>
        <w:t>E</w:t>
      </w:r>
      <w:r w:rsidR="00403A9F" w:rsidRPr="007C5A96">
        <w:t>FA</w:t>
      </w:r>
      <w:r w:rsidR="00276309" w:rsidRPr="007C5A96">
        <w:t xml:space="preserve"> was done for the variables by principal </w:t>
      </w:r>
      <w:r w:rsidR="00403A9F" w:rsidRPr="007C5A96">
        <w:t xml:space="preserve">axis </w:t>
      </w:r>
      <w:r w:rsidR="00276309" w:rsidRPr="007C5A96">
        <w:t>factor analysis</w:t>
      </w:r>
      <w:r w:rsidR="00403A9F" w:rsidRPr="007C5A96">
        <w:t xml:space="preserve"> </w:t>
      </w:r>
      <w:r w:rsidR="00276309" w:rsidRPr="007C5A96">
        <w:t xml:space="preserve">to confirm the constructed validity the instruments (see table 1). The study is interest in a theoretical solution uncontaminated by unique and error variability and it is designed with a framework </w:t>
      </w:r>
      <w:proofErr w:type="gramStart"/>
      <w:r w:rsidR="00276309" w:rsidRPr="007C5A96">
        <w:t>on the basis of</w:t>
      </w:r>
      <w:proofErr w:type="gramEnd"/>
      <w:r w:rsidR="00276309" w:rsidRPr="007C5A96">
        <w:t xml:space="preserve"> underlying constructs that are expected to produce sources on the observed variables. Principal axis factor analysis, which aims to reveal the underlying factors which produce the correlation or correlation among a set of indictors with the assumption of an implicit underlying factor model, was applied to the items from the learning processes and learning outcomes separately. Promax rotation, a method of oblique rotation which assumes the resulting factors are correlated with one other, was applied to extract the factors. An eigenvalue greater than one was used to determine the appropriate number of factors. </w:t>
      </w:r>
      <w:r w:rsidR="006722FE" w:rsidRPr="007C5A96">
        <w:t xml:space="preserve">T-test </w:t>
      </w:r>
      <w:r w:rsidR="00EA7E65" w:rsidRPr="007C5A96">
        <w:t xml:space="preserve">was applied to examine the differences between the pre-post tests on. </w:t>
      </w:r>
      <w:r w:rsidR="00403A9F" w:rsidRPr="007C5A96">
        <w:t xml:space="preserve">T-test was applied to test the significant of the incremental scores of </w:t>
      </w:r>
      <w:r w:rsidR="004D7D46" w:rsidRPr="007C5A96">
        <w:t xml:space="preserve">both control group and experimental group for </w:t>
      </w:r>
      <w:r w:rsidR="00403A9F" w:rsidRPr="007C5A96">
        <w:t>the five teaching principles.</w:t>
      </w:r>
      <w:r w:rsidR="00EA7E65" w:rsidRPr="007C5A96">
        <w:t xml:space="preserve">  </w:t>
      </w:r>
    </w:p>
    <w:p w14:paraId="2D1E92A0" w14:textId="77777777" w:rsidR="00E4717D" w:rsidRPr="007C5A96" w:rsidRDefault="00E4717D" w:rsidP="00BF7D09">
      <w:pPr>
        <w:spacing w:line="0" w:lineRule="atLeast"/>
      </w:pPr>
    </w:p>
    <w:p w14:paraId="08EBE071" w14:textId="77777777" w:rsidR="00231F58" w:rsidRPr="00512D93" w:rsidRDefault="00231F58" w:rsidP="00191683">
      <w:pPr>
        <w:spacing w:line="0" w:lineRule="atLeast"/>
        <w:jc w:val="both"/>
        <w:rPr>
          <w:b/>
          <w:bCs/>
        </w:rPr>
      </w:pPr>
      <w:r w:rsidRPr="00512D93">
        <w:rPr>
          <w:b/>
          <w:bCs/>
        </w:rPr>
        <w:t>Findings</w:t>
      </w:r>
    </w:p>
    <w:p w14:paraId="3D13F68F" w14:textId="6457617B" w:rsidR="00506538" w:rsidRPr="00B66343" w:rsidRDefault="00C10954" w:rsidP="00403A9F">
      <w:pPr>
        <w:spacing w:line="0" w:lineRule="atLeast"/>
        <w:ind w:firstLine="482"/>
        <w:jc w:val="both"/>
      </w:pPr>
      <w:r w:rsidRPr="007C5A96">
        <w:t xml:space="preserve">The results of </w:t>
      </w:r>
      <w:r w:rsidR="0055301C">
        <w:t>Explorat</w:t>
      </w:r>
      <w:r w:rsidR="00DF6DAD" w:rsidRPr="007C5A96">
        <w:t>ory</w:t>
      </w:r>
      <w:r w:rsidRPr="007C5A96">
        <w:t xml:space="preserve"> factor analysis</w:t>
      </w:r>
      <w:r w:rsidR="00DF6DAD" w:rsidRPr="007C5A96">
        <w:t xml:space="preserve"> (</w:t>
      </w:r>
      <w:r w:rsidR="0055301C">
        <w:t>E</w:t>
      </w:r>
      <w:r w:rsidR="00DF6DAD" w:rsidRPr="007C5A96">
        <w:t>FA)</w:t>
      </w:r>
      <w:r w:rsidRPr="007C5A96">
        <w:t xml:space="preserve">, presented in Table 1, clearly suggest </w:t>
      </w:r>
      <w:r w:rsidR="00191683" w:rsidRPr="007C5A96">
        <w:t xml:space="preserve">five </w:t>
      </w:r>
      <w:r w:rsidRPr="007C5A96">
        <w:t xml:space="preserve">factor structures for </w:t>
      </w:r>
      <w:r w:rsidR="00191683" w:rsidRPr="007C5A96">
        <w:t>the</w:t>
      </w:r>
      <w:r w:rsidRPr="007C5A96">
        <w:t xml:space="preserve"> variables that are both empirically feasible and </w:t>
      </w:r>
      <w:r w:rsidRPr="00B66343">
        <w:t xml:space="preserve">theoretically acceptable. </w:t>
      </w:r>
      <w:r w:rsidR="00191683" w:rsidRPr="00B66343">
        <w:t xml:space="preserve">Results of the factor analysis show that </w:t>
      </w:r>
      <w:r w:rsidR="0055301C">
        <w:t>16</w:t>
      </w:r>
      <w:r w:rsidR="00191683" w:rsidRPr="00B66343">
        <w:t xml:space="preserve"> item</w:t>
      </w:r>
      <w:r w:rsidR="0055301C">
        <w:t>s were extracted with factor</w:t>
      </w:r>
      <w:r w:rsidR="00191683" w:rsidRPr="00B66343">
        <w:t xml:space="preserve"> loadings higher than 0.</w:t>
      </w:r>
      <w:r w:rsidR="009C6A00" w:rsidRPr="00B66343">
        <w:t>5</w:t>
      </w:r>
      <w:r w:rsidR="00191683" w:rsidRPr="00B66343">
        <w:t xml:space="preserve">. The construct validity of the instrument is confirmed by </w:t>
      </w:r>
      <w:r w:rsidR="0055301C">
        <w:t>E</w:t>
      </w:r>
      <w:r w:rsidR="00191683" w:rsidRPr="00B66343">
        <w:t>FA. The result shows that f</w:t>
      </w:r>
      <w:r w:rsidR="00DF6DAD" w:rsidRPr="00B66343">
        <w:t xml:space="preserve">ive </w:t>
      </w:r>
      <w:r w:rsidR="00191683" w:rsidRPr="00B66343">
        <w:t xml:space="preserve">factors are extracted. They are </w:t>
      </w:r>
      <w:bookmarkStart w:id="4" w:name="_Hlk46734408"/>
      <w:r w:rsidR="00DF6DAD" w:rsidRPr="00B66343">
        <w:t xml:space="preserve">modelling thinking process, thought-provoking reflections, </w:t>
      </w:r>
      <w:bookmarkStart w:id="5" w:name="_Hlk46673719"/>
      <w:r w:rsidR="00DF6DAD" w:rsidRPr="00B66343">
        <w:t>reviewing thinking process</w:t>
      </w:r>
      <w:bookmarkEnd w:id="5"/>
      <w:r w:rsidR="00DF6DAD" w:rsidRPr="00B66343">
        <w:t xml:space="preserve">, enabling self-regulation and motivational </w:t>
      </w:r>
      <w:proofErr w:type="gramStart"/>
      <w:r w:rsidR="00DF6DAD" w:rsidRPr="00B66343">
        <w:t>feedback</w:t>
      </w:r>
      <w:proofErr w:type="gramEnd"/>
      <w:r w:rsidR="00DF6DAD" w:rsidRPr="00B66343">
        <w:t xml:space="preserve"> </w:t>
      </w:r>
      <w:bookmarkEnd w:id="4"/>
      <w:r w:rsidR="00DF6DAD" w:rsidRPr="00B66343">
        <w:t xml:space="preserve">respectively. </w:t>
      </w:r>
      <w:r w:rsidRPr="00B66343">
        <w:t>The reliability coefficients of 0.</w:t>
      </w:r>
      <w:r w:rsidR="00191683" w:rsidRPr="00B66343">
        <w:t>7</w:t>
      </w:r>
      <w:r w:rsidRPr="00B66343">
        <w:t xml:space="preserve"> or higher are judged adequate for </w:t>
      </w:r>
      <w:r w:rsidR="00191683" w:rsidRPr="00B66343">
        <w:t>research</w:t>
      </w:r>
      <w:r w:rsidRPr="00B66343">
        <w:t xml:space="preserve"> purposes (Caplan, Naidu, &amp; Tripathi, 1984). The </w:t>
      </w:r>
      <w:r w:rsidRPr="00B66343">
        <w:lastRenderedPageBreak/>
        <w:t>reliability coefficients of the scales ranged from 0.</w:t>
      </w:r>
      <w:r w:rsidR="00191683" w:rsidRPr="00B66343">
        <w:t>714</w:t>
      </w:r>
      <w:r w:rsidRPr="00B66343">
        <w:t xml:space="preserve"> to 0.</w:t>
      </w:r>
      <w:r w:rsidR="00191683" w:rsidRPr="00B66343">
        <w:t>848</w:t>
      </w:r>
      <w:r w:rsidRPr="00B66343">
        <w:t xml:space="preserve">, which were judged adequate for this study. </w:t>
      </w:r>
    </w:p>
    <w:p w14:paraId="71DD39BA" w14:textId="77777777" w:rsidR="00C72431" w:rsidRPr="007C5A96" w:rsidRDefault="00C72431" w:rsidP="00C72431">
      <w:pPr>
        <w:spacing w:line="0" w:lineRule="atLeast"/>
        <w:ind w:firstLine="482"/>
        <w:jc w:val="both"/>
        <w:rPr>
          <w:rFonts w:eastAsia="Myriad Pro"/>
          <w:color w:val="000000"/>
        </w:rPr>
      </w:pPr>
    </w:p>
    <w:p w14:paraId="1F8546BB" w14:textId="749BA823" w:rsidR="00DF6DAD" w:rsidRPr="00512D93" w:rsidRDefault="00DF6DAD" w:rsidP="00DF6DAD">
      <w:pPr>
        <w:pStyle w:val="Pa21"/>
        <w:spacing w:line="0" w:lineRule="atLeast"/>
        <w:jc w:val="both"/>
        <w:rPr>
          <w:rFonts w:ascii="Times New Roman" w:eastAsiaTheme="minorEastAsia" w:hAnsi="Times New Roman" w:cs="Times New Roman"/>
          <w:b/>
          <w:bCs/>
          <w:lang w:val="en-GB" w:eastAsia="zh-CN"/>
        </w:rPr>
      </w:pPr>
      <w:r w:rsidRPr="00512D93">
        <w:rPr>
          <w:rFonts w:ascii="Times New Roman" w:eastAsiaTheme="minorEastAsia" w:hAnsi="Times New Roman" w:cs="Times New Roman"/>
          <w:b/>
          <w:bCs/>
          <w:lang w:val="en-GB" w:eastAsia="zh-CN"/>
        </w:rPr>
        <w:t xml:space="preserve">Table 1. Results of the Factor Analysis and Reliability </w:t>
      </w:r>
      <w:r w:rsidR="00BC286F" w:rsidRPr="00512D93">
        <w:rPr>
          <w:rFonts w:ascii="Times New Roman" w:eastAsiaTheme="minorEastAsia" w:hAnsi="Times New Roman" w:cs="Times New Roman"/>
          <w:b/>
          <w:bCs/>
          <w:lang w:val="en-GB" w:eastAsia="zh-CN"/>
        </w:rPr>
        <w:t xml:space="preserve">Test </w:t>
      </w:r>
      <w:r w:rsidRPr="00512D93">
        <w:rPr>
          <w:rFonts w:ascii="Times New Roman" w:eastAsiaTheme="minorEastAsia" w:hAnsi="Times New Roman" w:cs="Times New Roman"/>
          <w:b/>
          <w:bCs/>
          <w:lang w:val="en-GB" w:eastAsia="zh-CN"/>
        </w:rPr>
        <w:t xml:space="preserve">for Each Scale </w:t>
      </w:r>
    </w:p>
    <w:tbl>
      <w:tblPr>
        <w:tblpPr w:leftFromText="180" w:rightFromText="180" w:vertAnchor="text" w:horzAnchor="margin" w:tblpX="-10"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61"/>
        <w:gridCol w:w="8097"/>
        <w:gridCol w:w="1078"/>
      </w:tblGrid>
      <w:tr w:rsidR="00A104F4" w:rsidRPr="001625B5" w14:paraId="5D321E9A" w14:textId="77777777" w:rsidTr="00BC286F">
        <w:trPr>
          <w:trHeight w:hRule="exact" w:val="647"/>
        </w:trPr>
        <w:tc>
          <w:tcPr>
            <w:tcW w:w="561" w:type="dxa"/>
          </w:tcPr>
          <w:p w14:paraId="4338725B" w14:textId="77777777" w:rsidR="00A104F4" w:rsidRPr="00BC286F" w:rsidRDefault="00A104F4" w:rsidP="00BC286F">
            <w:pPr>
              <w:adjustRightInd w:val="0"/>
              <w:spacing w:line="0" w:lineRule="atLeast"/>
              <w:rPr>
                <w:sz w:val="22"/>
                <w:szCs w:val="22"/>
              </w:rPr>
            </w:pPr>
          </w:p>
        </w:tc>
        <w:tc>
          <w:tcPr>
            <w:tcW w:w="8097" w:type="dxa"/>
            <w:shd w:val="clear" w:color="auto" w:fill="auto"/>
            <w:tcMar>
              <w:top w:w="72" w:type="dxa"/>
              <w:left w:w="144" w:type="dxa"/>
              <w:bottom w:w="72" w:type="dxa"/>
              <w:right w:w="144" w:type="dxa"/>
            </w:tcMar>
            <w:hideMark/>
          </w:tcPr>
          <w:p w14:paraId="52FE43DF" w14:textId="6CB4D9F0" w:rsidR="00A104F4" w:rsidRPr="00BC286F" w:rsidRDefault="00A104F4" w:rsidP="00BC286F">
            <w:pPr>
              <w:adjustRightInd w:val="0"/>
              <w:spacing w:line="0" w:lineRule="atLeast"/>
              <w:jc w:val="center"/>
              <w:rPr>
                <w:b/>
                <w:bCs/>
                <w:sz w:val="22"/>
                <w:szCs w:val="22"/>
              </w:rPr>
            </w:pPr>
            <w:r w:rsidRPr="00BC286F">
              <w:rPr>
                <w:b/>
                <w:bCs/>
                <w:sz w:val="22"/>
                <w:szCs w:val="22"/>
              </w:rPr>
              <w:t xml:space="preserve">Teaching </w:t>
            </w:r>
            <w:r w:rsidR="00BC286F" w:rsidRPr="00BC286F">
              <w:rPr>
                <w:b/>
                <w:bCs/>
                <w:sz w:val="22"/>
                <w:szCs w:val="22"/>
              </w:rPr>
              <w:t>P</w:t>
            </w:r>
            <w:r w:rsidRPr="00BC286F">
              <w:rPr>
                <w:b/>
                <w:bCs/>
                <w:sz w:val="22"/>
                <w:szCs w:val="22"/>
              </w:rPr>
              <w:t>rinciples and Items</w:t>
            </w:r>
          </w:p>
        </w:tc>
        <w:tc>
          <w:tcPr>
            <w:tcW w:w="0" w:type="auto"/>
            <w:shd w:val="clear" w:color="auto" w:fill="auto"/>
            <w:tcMar>
              <w:top w:w="72" w:type="dxa"/>
              <w:left w:w="144" w:type="dxa"/>
              <w:bottom w:w="72" w:type="dxa"/>
              <w:right w:w="144" w:type="dxa"/>
            </w:tcMar>
            <w:hideMark/>
          </w:tcPr>
          <w:p w14:paraId="57457E54" w14:textId="328A7C9A" w:rsidR="00BC286F" w:rsidRPr="00BC286F" w:rsidRDefault="00A104F4" w:rsidP="00BC286F">
            <w:pPr>
              <w:adjustRightInd w:val="0"/>
              <w:spacing w:line="0" w:lineRule="atLeast"/>
              <w:ind w:left="-144" w:right="-140"/>
              <w:jc w:val="center"/>
              <w:rPr>
                <w:sz w:val="22"/>
                <w:szCs w:val="22"/>
              </w:rPr>
            </w:pPr>
            <w:r w:rsidRPr="00BC286F">
              <w:rPr>
                <w:sz w:val="22"/>
                <w:szCs w:val="22"/>
              </w:rPr>
              <w:t>Factor</w:t>
            </w:r>
          </w:p>
          <w:p w14:paraId="37954736" w14:textId="6483950E" w:rsidR="00A104F4" w:rsidRPr="00BC286F" w:rsidRDefault="00A104F4" w:rsidP="00BC286F">
            <w:pPr>
              <w:adjustRightInd w:val="0"/>
              <w:spacing w:line="0" w:lineRule="atLeast"/>
              <w:ind w:left="-144" w:right="-140"/>
              <w:jc w:val="center"/>
              <w:rPr>
                <w:sz w:val="22"/>
                <w:szCs w:val="22"/>
              </w:rPr>
            </w:pPr>
            <w:r w:rsidRPr="00BC286F">
              <w:rPr>
                <w:sz w:val="22"/>
                <w:szCs w:val="22"/>
              </w:rPr>
              <w:t>loadings</w:t>
            </w:r>
          </w:p>
        </w:tc>
      </w:tr>
      <w:tr w:rsidR="0055301C" w:rsidRPr="001625B5" w14:paraId="44C1CE0F" w14:textId="77777777" w:rsidTr="00350505">
        <w:trPr>
          <w:trHeight w:hRule="exact" w:val="340"/>
        </w:trPr>
        <w:tc>
          <w:tcPr>
            <w:tcW w:w="9736" w:type="dxa"/>
            <w:gridSpan w:val="3"/>
          </w:tcPr>
          <w:p w14:paraId="74AD85C7" w14:textId="2B3E3D56" w:rsidR="0055301C" w:rsidRPr="00BC286F" w:rsidRDefault="0055301C" w:rsidP="00512D93">
            <w:pPr>
              <w:adjustRightInd w:val="0"/>
              <w:spacing w:line="0" w:lineRule="atLeast"/>
              <w:rPr>
                <w:b/>
                <w:bCs/>
                <w:sz w:val="22"/>
                <w:szCs w:val="22"/>
              </w:rPr>
            </w:pPr>
            <w:r w:rsidRPr="00BC286F">
              <w:rPr>
                <w:b/>
                <w:bCs/>
                <w:sz w:val="22"/>
                <w:szCs w:val="22"/>
              </w:rPr>
              <w:t xml:space="preserve">Scale </w:t>
            </w:r>
            <w:r>
              <w:rPr>
                <w:b/>
                <w:bCs/>
                <w:sz w:val="22"/>
                <w:szCs w:val="22"/>
              </w:rPr>
              <w:t>1</w:t>
            </w:r>
            <w:r w:rsidRPr="00BC286F">
              <w:rPr>
                <w:b/>
                <w:bCs/>
                <w:sz w:val="22"/>
                <w:szCs w:val="22"/>
              </w:rPr>
              <w:t>: Enabling self-regulation (eigen-value = 7.751, reliability α = 0.848)</w:t>
            </w:r>
          </w:p>
          <w:p w14:paraId="3FF212A3" w14:textId="77777777" w:rsidR="0055301C" w:rsidRPr="00BC286F" w:rsidRDefault="0055301C" w:rsidP="0055301C">
            <w:pPr>
              <w:adjustRightInd w:val="0"/>
              <w:spacing w:line="0" w:lineRule="atLeast"/>
              <w:rPr>
                <w:sz w:val="22"/>
                <w:szCs w:val="22"/>
              </w:rPr>
            </w:pPr>
          </w:p>
        </w:tc>
      </w:tr>
      <w:tr w:rsidR="0055301C" w:rsidRPr="001625B5" w14:paraId="2D4AF65F" w14:textId="77777777" w:rsidTr="00350505">
        <w:trPr>
          <w:trHeight w:hRule="exact" w:val="340"/>
        </w:trPr>
        <w:tc>
          <w:tcPr>
            <w:tcW w:w="561" w:type="dxa"/>
          </w:tcPr>
          <w:p w14:paraId="5A0ADCEE" w14:textId="77777777" w:rsidR="0055301C" w:rsidRPr="00BC286F" w:rsidRDefault="0055301C" w:rsidP="0055301C">
            <w:pPr>
              <w:spacing w:line="0" w:lineRule="atLeast"/>
              <w:jc w:val="center"/>
              <w:rPr>
                <w:sz w:val="22"/>
                <w:szCs w:val="22"/>
              </w:rPr>
            </w:pPr>
            <w:r w:rsidRPr="00BC286F">
              <w:rPr>
                <w:sz w:val="22"/>
                <w:szCs w:val="22"/>
              </w:rPr>
              <w:t>Q20</w:t>
            </w:r>
          </w:p>
        </w:tc>
        <w:tc>
          <w:tcPr>
            <w:tcW w:w="8097" w:type="dxa"/>
            <w:shd w:val="clear" w:color="auto" w:fill="auto"/>
            <w:tcMar>
              <w:top w:w="72" w:type="dxa"/>
              <w:left w:w="144" w:type="dxa"/>
              <w:bottom w:w="72" w:type="dxa"/>
              <w:right w:w="144" w:type="dxa"/>
            </w:tcMar>
            <w:hideMark/>
          </w:tcPr>
          <w:p w14:paraId="6DCA7B3D" w14:textId="77777777" w:rsidR="0055301C" w:rsidRPr="00BC286F" w:rsidRDefault="0055301C" w:rsidP="0055301C">
            <w:pPr>
              <w:adjustRightInd w:val="0"/>
              <w:spacing w:line="0" w:lineRule="atLeast"/>
              <w:rPr>
                <w:sz w:val="22"/>
                <w:szCs w:val="22"/>
              </w:rPr>
            </w:pPr>
            <w:r w:rsidRPr="00BC286F">
              <w:rPr>
                <w:sz w:val="22"/>
                <w:szCs w:val="22"/>
              </w:rPr>
              <w:t>I teach students how to set learning goals.</w:t>
            </w:r>
          </w:p>
        </w:tc>
        <w:tc>
          <w:tcPr>
            <w:tcW w:w="0" w:type="auto"/>
            <w:shd w:val="clear" w:color="auto" w:fill="auto"/>
            <w:tcMar>
              <w:top w:w="72" w:type="dxa"/>
              <w:left w:w="144" w:type="dxa"/>
              <w:bottom w:w="72" w:type="dxa"/>
              <w:right w:w="144" w:type="dxa"/>
            </w:tcMar>
          </w:tcPr>
          <w:p w14:paraId="0BE6B8C4" w14:textId="77777777" w:rsidR="0055301C" w:rsidRPr="00BC286F" w:rsidRDefault="0055301C" w:rsidP="00512D93">
            <w:pPr>
              <w:adjustRightInd w:val="0"/>
              <w:spacing w:line="0" w:lineRule="atLeast"/>
              <w:jc w:val="center"/>
              <w:rPr>
                <w:sz w:val="22"/>
                <w:szCs w:val="22"/>
              </w:rPr>
            </w:pPr>
            <w:r w:rsidRPr="00BC286F">
              <w:rPr>
                <w:sz w:val="22"/>
                <w:szCs w:val="22"/>
              </w:rPr>
              <w:t>0.987</w:t>
            </w:r>
          </w:p>
        </w:tc>
      </w:tr>
      <w:tr w:rsidR="0055301C" w:rsidRPr="001625B5" w14:paraId="45AD2651" w14:textId="77777777" w:rsidTr="00350505">
        <w:trPr>
          <w:trHeight w:hRule="exact" w:val="340"/>
        </w:trPr>
        <w:tc>
          <w:tcPr>
            <w:tcW w:w="561" w:type="dxa"/>
          </w:tcPr>
          <w:p w14:paraId="2FDA52B6" w14:textId="77777777" w:rsidR="0055301C" w:rsidRPr="00BC286F" w:rsidRDefault="0055301C" w:rsidP="0055301C">
            <w:pPr>
              <w:spacing w:line="0" w:lineRule="atLeast"/>
              <w:jc w:val="center"/>
              <w:rPr>
                <w:sz w:val="22"/>
                <w:szCs w:val="22"/>
              </w:rPr>
            </w:pPr>
            <w:r w:rsidRPr="00BC286F">
              <w:rPr>
                <w:sz w:val="22"/>
                <w:szCs w:val="22"/>
              </w:rPr>
              <w:t>Q21</w:t>
            </w:r>
          </w:p>
        </w:tc>
        <w:tc>
          <w:tcPr>
            <w:tcW w:w="8097" w:type="dxa"/>
            <w:shd w:val="clear" w:color="auto" w:fill="auto"/>
            <w:tcMar>
              <w:top w:w="72" w:type="dxa"/>
              <w:left w:w="144" w:type="dxa"/>
              <w:bottom w:w="72" w:type="dxa"/>
              <w:right w:w="144" w:type="dxa"/>
            </w:tcMar>
          </w:tcPr>
          <w:p w14:paraId="65A3CC6F" w14:textId="77777777" w:rsidR="0055301C" w:rsidRPr="00BC286F" w:rsidRDefault="0055301C" w:rsidP="0055301C">
            <w:pPr>
              <w:adjustRightInd w:val="0"/>
              <w:spacing w:line="0" w:lineRule="atLeast"/>
              <w:rPr>
                <w:sz w:val="22"/>
                <w:szCs w:val="22"/>
              </w:rPr>
            </w:pPr>
            <w:r w:rsidRPr="00BC286F">
              <w:rPr>
                <w:sz w:val="22"/>
                <w:szCs w:val="22"/>
              </w:rPr>
              <w:t>I teach students how to employ methods and strategies to achieve their learning goals.</w:t>
            </w:r>
          </w:p>
        </w:tc>
        <w:tc>
          <w:tcPr>
            <w:tcW w:w="0" w:type="auto"/>
            <w:shd w:val="clear" w:color="auto" w:fill="auto"/>
            <w:tcMar>
              <w:top w:w="72" w:type="dxa"/>
              <w:left w:w="144" w:type="dxa"/>
              <w:bottom w:w="72" w:type="dxa"/>
              <w:right w:w="144" w:type="dxa"/>
            </w:tcMar>
          </w:tcPr>
          <w:p w14:paraId="57E6A0A1" w14:textId="77777777" w:rsidR="0055301C" w:rsidRPr="00BC286F" w:rsidRDefault="0055301C" w:rsidP="00512D93">
            <w:pPr>
              <w:adjustRightInd w:val="0"/>
              <w:spacing w:line="0" w:lineRule="atLeast"/>
              <w:jc w:val="center"/>
              <w:rPr>
                <w:sz w:val="22"/>
                <w:szCs w:val="22"/>
              </w:rPr>
            </w:pPr>
            <w:r w:rsidRPr="00BC286F">
              <w:rPr>
                <w:sz w:val="22"/>
                <w:szCs w:val="22"/>
              </w:rPr>
              <w:t>0.878</w:t>
            </w:r>
          </w:p>
        </w:tc>
      </w:tr>
      <w:tr w:rsidR="0055301C" w:rsidRPr="001625B5" w14:paraId="21453451" w14:textId="77777777" w:rsidTr="00350505">
        <w:trPr>
          <w:trHeight w:hRule="exact" w:val="340"/>
        </w:trPr>
        <w:tc>
          <w:tcPr>
            <w:tcW w:w="561" w:type="dxa"/>
          </w:tcPr>
          <w:p w14:paraId="1EA3C57F" w14:textId="77777777" w:rsidR="0055301C" w:rsidRPr="00BC286F" w:rsidRDefault="0055301C" w:rsidP="0055301C">
            <w:pPr>
              <w:spacing w:line="0" w:lineRule="atLeast"/>
              <w:jc w:val="center"/>
              <w:rPr>
                <w:sz w:val="22"/>
                <w:szCs w:val="22"/>
              </w:rPr>
            </w:pPr>
            <w:r w:rsidRPr="00BC286F">
              <w:rPr>
                <w:sz w:val="22"/>
                <w:szCs w:val="22"/>
              </w:rPr>
              <w:t>Q19</w:t>
            </w:r>
          </w:p>
        </w:tc>
        <w:tc>
          <w:tcPr>
            <w:tcW w:w="8097" w:type="dxa"/>
            <w:shd w:val="clear" w:color="auto" w:fill="auto"/>
            <w:tcMar>
              <w:top w:w="72" w:type="dxa"/>
              <w:left w:w="144" w:type="dxa"/>
              <w:bottom w:w="72" w:type="dxa"/>
              <w:right w:w="144" w:type="dxa"/>
            </w:tcMar>
          </w:tcPr>
          <w:p w14:paraId="0BDC6B56" w14:textId="77777777" w:rsidR="0055301C" w:rsidRPr="00BC286F" w:rsidRDefault="0055301C" w:rsidP="0055301C">
            <w:pPr>
              <w:adjustRightInd w:val="0"/>
              <w:spacing w:line="0" w:lineRule="atLeast"/>
              <w:rPr>
                <w:sz w:val="22"/>
                <w:szCs w:val="22"/>
              </w:rPr>
            </w:pPr>
            <w:r w:rsidRPr="00BC286F">
              <w:rPr>
                <w:sz w:val="22"/>
                <w:szCs w:val="22"/>
              </w:rPr>
              <w:t>I teach students the method of self-questioning so that they can monitor their own understanding.</w:t>
            </w:r>
          </w:p>
        </w:tc>
        <w:tc>
          <w:tcPr>
            <w:tcW w:w="0" w:type="auto"/>
            <w:shd w:val="clear" w:color="auto" w:fill="auto"/>
            <w:tcMar>
              <w:top w:w="72" w:type="dxa"/>
              <w:left w:w="144" w:type="dxa"/>
              <w:bottom w:w="72" w:type="dxa"/>
              <w:right w:w="144" w:type="dxa"/>
            </w:tcMar>
          </w:tcPr>
          <w:p w14:paraId="220E7FAF" w14:textId="77777777" w:rsidR="0055301C" w:rsidRPr="00BC286F" w:rsidRDefault="0055301C" w:rsidP="00512D93">
            <w:pPr>
              <w:adjustRightInd w:val="0"/>
              <w:spacing w:line="0" w:lineRule="atLeast"/>
              <w:jc w:val="center"/>
              <w:rPr>
                <w:sz w:val="22"/>
                <w:szCs w:val="22"/>
              </w:rPr>
            </w:pPr>
            <w:r w:rsidRPr="00BC286F">
              <w:rPr>
                <w:sz w:val="22"/>
                <w:szCs w:val="22"/>
              </w:rPr>
              <w:t>0.645</w:t>
            </w:r>
          </w:p>
        </w:tc>
      </w:tr>
      <w:tr w:rsidR="0055301C" w:rsidRPr="001625B5" w14:paraId="5B65B2C6" w14:textId="77777777" w:rsidTr="00350505">
        <w:trPr>
          <w:trHeight w:hRule="exact" w:val="340"/>
        </w:trPr>
        <w:tc>
          <w:tcPr>
            <w:tcW w:w="561" w:type="dxa"/>
          </w:tcPr>
          <w:p w14:paraId="76F4D5CC" w14:textId="77777777" w:rsidR="0055301C" w:rsidRPr="00BC286F" w:rsidRDefault="0055301C" w:rsidP="0055301C">
            <w:pPr>
              <w:spacing w:line="0" w:lineRule="atLeast"/>
              <w:jc w:val="center"/>
              <w:rPr>
                <w:sz w:val="22"/>
                <w:szCs w:val="22"/>
              </w:rPr>
            </w:pPr>
            <w:r w:rsidRPr="00BC286F">
              <w:rPr>
                <w:sz w:val="22"/>
                <w:szCs w:val="22"/>
              </w:rPr>
              <w:t>Q18</w:t>
            </w:r>
          </w:p>
        </w:tc>
        <w:tc>
          <w:tcPr>
            <w:tcW w:w="8097" w:type="dxa"/>
            <w:shd w:val="clear" w:color="auto" w:fill="auto"/>
            <w:tcMar>
              <w:top w:w="72" w:type="dxa"/>
              <w:left w:w="144" w:type="dxa"/>
              <w:bottom w:w="72" w:type="dxa"/>
              <w:right w:w="144" w:type="dxa"/>
            </w:tcMar>
          </w:tcPr>
          <w:p w14:paraId="29BAF32A" w14:textId="77777777" w:rsidR="0055301C" w:rsidRPr="00BC286F" w:rsidRDefault="0055301C" w:rsidP="0055301C">
            <w:pPr>
              <w:adjustRightInd w:val="0"/>
              <w:spacing w:line="0" w:lineRule="atLeast"/>
              <w:rPr>
                <w:sz w:val="22"/>
                <w:szCs w:val="22"/>
              </w:rPr>
            </w:pPr>
            <w:r w:rsidRPr="00BC286F">
              <w:rPr>
                <w:sz w:val="22"/>
                <w:szCs w:val="22"/>
              </w:rPr>
              <w:t>I teach students to check mistakes from time to time so that they can monitor their learning processes.</w:t>
            </w:r>
          </w:p>
        </w:tc>
        <w:tc>
          <w:tcPr>
            <w:tcW w:w="0" w:type="auto"/>
            <w:shd w:val="clear" w:color="auto" w:fill="auto"/>
            <w:tcMar>
              <w:top w:w="72" w:type="dxa"/>
              <w:left w:w="144" w:type="dxa"/>
              <w:bottom w:w="72" w:type="dxa"/>
              <w:right w:w="144" w:type="dxa"/>
            </w:tcMar>
          </w:tcPr>
          <w:p w14:paraId="040F5612" w14:textId="77777777" w:rsidR="0055301C" w:rsidRPr="00BC286F" w:rsidRDefault="0055301C" w:rsidP="00512D93">
            <w:pPr>
              <w:adjustRightInd w:val="0"/>
              <w:spacing w:line="0" w:lineRule="atLeast"/>
              <w:jc w:val="center"/>
              <w:rPr>
                <w:sz w:val="22"/>
                <w:szCs w:val="22"/>
              </w:rPr>
            </w:pPr>
            <w:r w:rsidRPr="00BC286F">
              <w:rPr>
                <w:sz w:val="22"/>
                <w:szCs w:val="22"/>
              </w:rPr>
              <w:t>0.583</w:t>
            </w:r>
          </w:p>
        </w:tc>
      </w:tr>
      <w:tr w:rsidR="0055301C" w:rsidRPr="001625B5" w14:paraId="05602027" w14:textId="77777777" w:rsidTr="00350505">
        <w:trPr>
          <w:trHeight w:hRule="exact" w:val="340"/>
        </w:trPr>
        <w:tc>
          <w:tcPr>
            <w:tcW w:w="9736" w:type="dxa"/>
            <w:gridSpan w:val="3"/>
          </w:tcPr>
          <w:p w14:paraId="0ABC6646" w14:textId="2A53DF5F" w:rsidR="0055301C" w:rsidRPr="00BC286F" w:rsidRDefault="0055301C" w:rsidP="00512D93">
            <w:pPr>
              <w:adjustRightInd w:val="0"/>
              <w:spacing w:line="0" w:lineRule="atLeast"/>
              <w:rPr>
                <w:b/>
                <w:bCs/>
                <w:sz w:val="22"/>
                <w:szCs w:val="22"/>
              </w:rPr>
            </w:pPr>
            <w:r w:rsidRPr="00BC286F">
              <w:rPr>
                <w:b/>
                <w:bCs/>
                <w:sz w:val="22"/>
                <w:szCs w:val="22"/>
              </w:rPr>
              <w:t xml:space="preserve">Scale </w:t>
            </w:r>
            <w:r>
              <w:rPr>
                <w:b/>
                <w:bCs/>
                <w:sz w:val="22"/>
                <w:szCs w:val="22"/>
              </w:rPr>
              <w:t>2</w:t>
            </w:r>
            <w:r w:rsidRPr="00BC286F">
              <w:rPr>
                <w:b/>
                <w:bCs/>
                <w:sz w:val="22"/>
                <w:szCs w:val="22"/>
              </w:rPr>
              <w:t>: Thought-provoking reflections (eigen-value =1.493, reliability α = 0.756)</w:t>
            </w:r>
          </w:p>
          <w:p w14:paraId="78AC4F03" w14:textId="77777777" w:rsidR="0055301C" w:rsidRPr="00BC286F" w:rsidRDefault="0055301C" w:rsidP="0055301C">
            <w:pPr>
              <w:adjustRightInd w:val="0"/>
              <w:spacing w:line="0" w:lineRule="atLeast"/>
              <w:rPr>
                <w:sz w:val="22"/>
                <w:szCs w:val="22"/>
              </w:rPr>
            </w:pPr>
          </w:p>
        </w:tc>
      </w:tr>
      <w:tr w:rsidR="0055301C" w:rsidRPr="001625B5" w14:paraId="0DE312E0" w14:textId="77777777" w:rsidTr="00350505">
        <w:trPr>
          <w:trHeight w:hRule="exact" w:val="340"/>
        </w:trPr>
        <w:tc>
          <w:tcPr>
            <w:tcW w:w="561" w:type="dxa"/>
          </w:tcPr>
          <w:p w14:paraId="53BE2799" w14:textId="77777777" w:rsidR="0055301C" w:rsidRPr="00BC286F" w:rsidRDefault="0055301C" w:rsidP="0055301C">
            <w:pPr>
              <w:adjustRightInd w:val="0"/>
              <w:spacing w:line="0" w:lineRule="atLeast"/>
              <w:jc w:val="center"/>
              <w:rPr>
                <w:sz w:val="22"/>
                <w:szCs w:val="22"/>
              </w:rPr>
            </w:pPr>
            <w:r w:rsidRPr="00BC286F">
              <w:rPr>
                <w:sz w:val="22"/>
                <w:szCs w:val="22"/>
              </w:rPr>
              <w:t>Q10</w:t>
            </w:r>
          </w:p>
        </w:tc>
        <w:tc>
          <w:tcPr>
            <w:tcW w:w="8097" w:type="dxa"/>
            <w:shd w:val="clear" w:color="auto" w:fill="auto"/>
            <w:tcMar>
              <w:top w:w="72" w:type="dxa"/>
              <w:left w:w="144" w:type="dxa"/>
              <w:bottom w:w="72" w:type="dxa"/>
              <w:right w:w="144" w:type="dxa"/>
            </w:tcMar>
          </w:tcPr>
          <w:p w14:paraId="4101F199" w14:textId="77777777" w:rsidR="0055301C" w:rsidRPr="00BC286F" w:rsidRDefault="0055301C" w:rsidP="0055301C">
            <w:pPr>
              <w:adjustRightInd w:val="0"/>
              <w:spacing w:line="0" w:lineRule="atLeast"/>
              <w:rPr>
                <w:sz w:val="22"/>
                <w:szCs w:val="22"/>
              </w:rPr>
            </w:pPr>
            <w:r w:rsidRPr="00BC286F">
              <w:rPr>
                <w:sz w:val="22"/>
                <w:szCs w:val="22"/>
              </w:rPr>
              <w:t>I provide the opportunities for students to discuss how to solve problems.</w:t>
            </w:r>
          </w:p>
        </w:tc>
        <w:tc>
          <w:tcPr>
            <w:tcW w:w="0" w:type="auto"/>
            <w:shd w:val="clear" w:color="auto" w:fill="auto"/>
            <w:tcMar>
              <w:top w:w="72" w:type="dxa"/>
              <w:left w:w="144" w:type="dxa"/>
              <w:bottom w:w="72" w:type="dxa"/>
              <w:right w:w="144" w:type="dxa"/>
            </w:tcMar>
          </w:tcPr>
          <w:p w14:paraId="029E4C55" w14:textId="77777777" w:rsidR="0055301C" w:rsidRPr="00BC286F" w:rsidRDefault="0055301C" w:rsidP="00512D93">
            <w:pPr>
              <w:adjustRightInd w:val="0"/>
              <w:spacing w:line="0" w:lineRule="atLeast"/>
              <w:jc w:val="center"/>
              <w:rPr>
                <w:sz w:val="22"/>
                <w:szCs w:val="22"/>
              </w:rPr>
            </w:pPr>
            <w:r w:rsidRPr="00BC286F">
              <w:rPr>
                <w:sz w:val="22"/>
                <w:szCs w:val="22"/>
              </w:rPr>
              <w:t>0.763</w:t>
            </w:r>
          </w:p>
        </w:tc>
      </w:tr>
      <w:tr w:rsidR="0055301C" w:rsidRPr="001625B5" w14:paraId="05C0245D" w14:textId="77777777" w:rsidTr="00350505">
        <w:trPr>
          <w:trHeight w:hRule="exact" w:val="340"/>
        </w:trPr>
        <w:tc>
          <w:tcPr>
            <w:tcW w:w="561" w:type="dxa"/>
          </w:tcPr>
          <w:p w14:paraId="5B57E57B" w14:textId="77777777" w:rsidR="0055301C" w:rsidRPr="00BC286F" w:rsidRDefault="0055301C" w:rsidP="0055301C">
            <w:pPr>
              <w:adjustRightInd w:val="0"/>
              <w:spacing w:line="0" w:lineRule="atLeast"/>
              <w:jc w:val="center"/>
              <w:rPr>
                <w:sz w:val="22"/>
                <w:szCs w:val="22"/>
              </w:rPr>
            </w:pPr>
            <w:r w:rsidRPr="00BC286F">
              <w:rPr>
                <w:sz w:val="22"/>
                <w:szCs w:val="22"/>
              </w:rPr>
              <w:t>Q9</w:t>
            </w:r>
          </w:p>
        </w:tc>
        <w:tc>
          <w:tcPr>
            <w:tcW w:w="8097" w:type="dxa"/>
            <w:shd w:val="clear" w:color="auto" w:fill="auto"/>
            <w:tcMar>
              <w:top w:w="72" w:type="dxa"/>
              <w:left w:w="144" w:type="dxa"/>
              <w:bottom w:w="72" w:type="dxa"/>
              <w:right w:w="144" w:type="dxa"/>
            </w:tcMar>
            <w:hideMark/>
          </w:tcPr>
          <w:p w14:paraId="560B82D0" w14:textId="77777777" w:rsidR="0055301C" w:rsidRPr="00BC286F" w:rsidRDefault="0055301C" w:rsidP="0055301C">
            <w:pPr>
              <w:adjustRightInd w:val="0"/>
              <w:spacing w:line="0" w:lineRule="atLeast"/>
              <w:rPr>
                <w:sz w:val="22"/>
                <w:szCs w:val="22"/>
              </w:rPr>
            </w:pPr>
            <w:r w:rsidRPr="00BC286F">
              <w:rPr>
                <w:sz w:val="22"/>
                <w:szCs w:val="22"/>
              </w:rPr>
              <w:t>I encourage students to share their thinking processes.</w:t>
            </w:r>
          </w:p>
        </w:tc>
        <w:tc>
          <w:tcPr>
            <w:tcW w:w="0" w:type="auto"/>
            <w:shd w:val="clear" w:color="auto" w:fill="auto"/>
            <w:tcMar>
              <w:top w:w="72" w:type="dxa"/>
              <w:left w:w="144" w:type="dxa"/>
              <w:bottom w:w="72" w:type="dxa"/>
              <w:right w:w="144" w:type="dxa"/>
            </w:tcMar>
            <w:hideMark/>
          </w:tcPr>
          <w:p w14:paraId="12A64B51" w14:textId="77777777" w:rsidR="0055301C" w:rsidRPr="00BC286F" w:rsidRDefault="0055301C" w:rsidP="00512D93">
            <w:pPr>
              <w:adjustRightInd w:val="0"/>
              <w:spacing w:line="0" w:lineRule="atLeast"/>
              <w:jc w:val="center"/>
              <w:rPr>
                <w:sz w:val="22"/>
                <w:szCs w:val="22"/>
              </w:rPr>
            </w:pPr>
            <w:r w:rsidRPr="00BC286F">
              <w:rPr>
                <w:sz w:val="22"/>
                <w:szCs w:val="22"/>
              </w:rPr>
              <w:t>0.752</w:t>
            </w:r>
          </w:p>
          <w:p w14:paraId="10A42F88" w14:textId="77777777" w:rsidR="0055301C" w:rsidRPr="00BC286F" w:rsidRDefault="0055301C" w:rsidP="00512D93">
            <w:pPr>
              <w:adjustRightInd w:val="0"/>
              <w:spacing w:line="0" w:lineRule="atLeast"/>
              <w:jc w:val="center"/>
              <w:rPr>
                <w:sz w:val="22"/>
                <w:szCs w:val="22"/>
              </w:rPr>
            </w:pPr>
          </w:p>
        </w:tc>
      </w:tr>
      <w:tr w:rsidR="0055301C" w:rsidRPr="001625B5" w14:paraId="07F941DE" w14:textId="77777777" w:rsidTr="00350505">
        <w:trPr>
          <w:trHeight w:hRule="exact" w:val="340"/>
        </w:trPr>
        <w:tc>
          <w:tcPr>
            <w:tcW w:w="561" w:type="dxa"/>
          </w:tcPr>
          <w:p w14:paraId="373FC0DA" w14:textId="77777777" w:rsidR="0055301C" w:rsidRPr="00BC286F" w:rsidRDefault="0055301C" w:rsidP="0055301C">
            <w:pPr>
              <w:adjustRightInd w:val="0"/>
              <w:spacing w:line="0" w:lineRule="atLeast"/>
              <w:jc w:val="center"/>
              <w:rPr>
                <w:sz w:val="22"/>
                <w:szCs w:val="22"/>
              </w:rPr>
            </w:pPr>
            <w:r w:rsidRPr="00BC286F">
              <w:rPr>
                <w:sz w:val="22"/>
                <w:szCs w:val="22"/>
              </w:rPr>
              <w:t>Q12</w:t>
            </w:r>
          </w:p>
        </w:tc>
        <w:tc>
          <w:tcPr>
            <w:tcW w:w="8097" w:type="dxa"/>
            <w:shd w:val="clear" w:color="auto" w:fill="auto"/>
            <w:tcMar>
              <w:top w:w="72" w:type="dxa"/>
              <w:left w:w="144" w:type="dxa"/>
              <w:bottom w:w="72" w:type="dxa"/>
              <w:right w:w="144" w:type="dxa"/>
            </w:tcMar>
          </w:tcPr>
          <w:p w14:paraId="23D64676" w14:textId="77777777" w:rsidR="0055301C" w:rsidRPr="00BC286F" w:rsidRDefault="0055301C" w:rsidP="0055301C">
            <w:pPr>
              <w:adjustRightInd w:val="0"/>
              <w:spacing w:line="0" w:lineRule="atLeast"/>
              <w:rPr>
                <w:sz w:val="22"/>
                <w:szCs w:val="22"/>
              </w:rPr>
            </w:pPr>
            <w:r w:rsidRPr="00BC286F">
              <w:rPr>
                <w:sz w:val="22"/>
                <w:szCs w:val="22"/>
              </w:rPr>
              <w:t xml:space="preserve">I encourage students to ask questions about the learning content.  </w:t>
            </w:r>
          </w:p>
        </w:tc>
        <w:tc>
          <w:tcPr>
            <w:tcW w:w="0" w:type="auto"/>
            <w:shd w:val="clear" w:color="auto" w:fill="auto"/>
            <w:tcMar>
              <w:top w:w="72" w:type="dxa"/>
              <w:left w:w="144" w:type="dxa"/>
              <w:bottom w:w="72" w:type="dxa"/>
              <w:right w:w="144" w:type="dxa"/>
            </w:tcMar>
          </w:tcPr>
          <w:p w14:paraId="6E59D97B" w14:textId="77777777" w:rsidR="0055301C" w:rsidRPr="00BC286F" w:rsidRDefault="0055301C" w:rsidP="00512D93">
            <w:pPr>
              <w:adjustRightInd w:val="0"/>
              <w:spacing w:line="0" w:lineRule="atLeast"/>
              <w:jc w:val="center"/>
              <w:rPr>
                <w:sz w:val="22"/>
                <w:szCs w:val="22"/>
              </w:rPr>
            </w:pPr>
            <w:r w:rsidRPr="00BC286F">
              <w:rPr>
                <w:sz w:val="22"/>
                <w:szCs w:val="22"/>
              </w:rPr>
              <w:t>0.600</w:t>
            </w:r>
          </w:p>
        </w:tc>
      </w:tr>
      <w:tr w:rsidR="0055301C" w:rsidRPr="001625B5" w14:paraId="700E676D" w14:textId="77777777" w:rsidTr="00350505">
        <w:trPr>
          <w:trHeight w:hRule="exact" w:val="340"/>
        </w:trPr>
        <w:tc>
          <w:tcPr>
            <w:tcW w:w="561" w:type="dxa"/>
          </w:tcPr>
          <w:p w14:paraId="006090A2" w14:textId="77777777" w:rsidR="0055301C" w:rsidRPr="00BC286F" w:rsidRDefault="0055301C" w:rsidP="0055301C">
            <w:pPr>
              <w:adjustRightInd w:val="0"/>
              <w:spacing w:line="0" w:lineRule="atLeast"/>
              <w:jc w:val="center"/>
              <w:rPr>
                <w:sz w:val="22"/>
                <w:szCs w:val="22"/>
              </w:rPr>
            </w:pPr>
            <w:r w:rsidRPr="00BC286F">
              <w:rPr>
                <w:sz w:val="22"/>
                <w:szCs w:val="22"/>
              </w:rPr>
              <w:t>Q13</w:t>
            </w:r>
          </w:p>
        </w:tc>
        <w:tc>
          <w:tcPr>
            <w:tcW w:w="8097" w:type="dxa"/>
            <w:shd w:val="clear" w:color="auto" w:fill="auto"/>
            <w:tcMar>
              <w:top w:w="72" w:type="dxa"/>
              <w:left w:w="144" w:type="dxa"/>
              <w:bottom w:w="72" w:type="dxa"/>
              <w:right w:w="144" w:type="dxa"/>
            </w:tcMar>
          </w:tcPr>
          <w:p w14:paraId="1399460F" w14:textId="77777777" w:rsidR="0055301C" w:rsidRPr="00BC286F" w:rsidRDefault="0055301C" w:rsidP="0055301C">
            <w:pPr>
              <w:adjustRightInd w:val="0"/>
              <w:spacing w:line="0" w:lineRule="atLeast"/>
              <w:rPr>
                <w:sz w:val="22"/>
                <w:szCs w:val="22"/>
              </w:rPr>
            </w:pPr>
            <w:r w:rsidRPr="00BC286F">
              <w:rPr>
                <w:sz w:val="22"/>
                <w:szCs w:val="22"/>
              </w:rPr>
              <w:t>I arrange problem solving activities for students.</w:t>
            </w:r>
          </w:p>
        </w:tc>
        <w:tc>
          <w:tcPr>
            <w:tcW w:w="0" w:type="auto"/>
            <w:shd w:val="clear" w:color="auto" w:fill="auto"/>
            <w:tcMar>
              <w:top w:w="72" w:type="dxa"/>
              <w:left w:w="144" w:type="dxa"/>
              <w:bottom w:w="72" w:type="dxa"/>
              <w:right w:w="144" w:type="dxa"/>
            </w:tcMar>
          </w:tcPr>
          <w:p w14:paraId="7A21718F" w14:textId="77777777" w:rsidR="0055301C" w:rsidRPr="00BC286F" w:rsidRDefault="0055301C" w:rsidP="00512D93">
            <w:pPr>
              <w:adjustRightInd w:val="0"/>
              <w:spacing w:line="0" w:lineRule="atLeast"/>
              <w:jc w:val="center"/>
              <w:rPr>
                <w:sz w:val="22"/>
                <w:szCs w:val="22"/>
              </w:rPr>
            </w:pPr>
            <w:r w:rsidRPr="00BC286F">
              <w:rPr>
                <w:sz w:val="22"/>
                <w:szCs w:val="22"/>
              </w:rPr>
              <w:t>0.503</w:t>
            </w:r>
          </w:p>
        </w:tc>
      </w:tr>
      <w:tr w:rsidR="002E2A4D" w:rsidRPr="001625B5" w14:paraId="10938A8C" w14:textId="77777777" w:rsidTr="00BC286F">
        <w:trPr>
          <w:trHeight w:hRule="exact" w:val="340"/>
        </w:trPr>
        <w:tc>
          <w:tcPr>
            <w:tcW w:w="9736" w:type="dxa"/>
            <w:gridSpan w:val="3"/>
            <w:vAlign w:val="center"/>
          </w:tcPr>
          <w:p w14:paraId="4850C550" w14:textId="349CE967" w:rsidR="002E2A4D" w:rsidRPr="00BC286F" w:rsidRDefault="002E2A4D" w:rsidP="00512D93">
            <w:pPr>
              <w:adjustRightInd w:val="0"/>
              <w:spacing w:line="0" w:lineRule="atLeast"/>
              <w:rPr>
                <w:b/>
                <w:bCs/>
                <w:sz w:val="22"/>
                <w:szCs w:val="22"/>
              </w:rPr>
            </w:pPr>
            <w:r w:rsidRPr="00BC286F">
              <w:rPr>
                <w:b/>
                <w:bCs/>
                <w:sz w:val="22"/>
                <w:szCs w:val="22"/>
              </w:rPr>
              <w:t>Scale</w:t>
            </w:r>
            <w:r w:rsidR="0055301C">
              <w:rPr>
                <w:b/>
                <w:bCs/>
                <w:sz w:val="22"/>
                <w:szCs w:val="22"/>
              </w:rPr>
              <w:t xml:space="preserve"> 3</w:t>
            </w:r>
            <w:r w:rsidRPr="00BC286F">
              <w:rPr>
                <w:b/>
                <w:bCs/>
                <w:sz w:val="22"/>
                <w:szCs w:val="22"/>
              </w:rPr>
              <w:t>: Model thinking Process (eigen-value = 1.303, reliability α = 0.738)</w:t>
            </w:r>
          </w:p>
          <w:p w14:paraId="1BD07FCA" w14:textId="5E1E37D5" w:rsidR="002E2A4D" w:rsidRPr="00BC286F" w:rsidRDefault="002E2A4D" w:rsidP="00BC286F">
            <w:pPr>
              <w:adjustRightInd w:val="0"/>
              <w:spacing w:line="0" w:lineRule="atLeast"/>
              <w:jc w:val="center"/>
              <w:rPr>
                <w:sz w:val="22"/>
                <w:szCs w:val="22"/>
              </w:rPr>
            </w:pPr>
          </w:p>
        </w:tc>
      </w:tr>
      <w:tr w:rsidR="00A104F4" w:rsidRPr="001625B5" w14:paraId="5B7A1E7A" w14:textId="77777777" w:rsidTr="00BC286F">
        <w:trPr>
          <w:trHeight w:hRule="exact" w:val="340"/>
        </w:trPr>
        <w:tc>
          <w:tcPr>
            <w:tcW w:w="561" w:type="dxa"/>
          </w:tcPr>
          <w:p w14:paraId="182D14E3" w14:textId="651A1577" w:rsidR="00A104F4" w:rsidRPr="00BC286F" w:rsidRDefault="00A104F4" w:rsidP="00BC286F">
            <w:pPr>
              <w:adjustRightInd w:val="0"/>
              <w:spacing w:line="0" w:lineRule="atLeast"/>
              <w:jc w:val="center"/>
              <w:rPr>
                <w:sz w:val="22"/>
                <w:szCs w:val="22"/>
              </w:rPr>
            </w:pPr>
            <w:r w:rsidRPr="00BC286F">
              <w:rPr>
                <w:sz w:val="22"/>
                <w:szCs w:val="22"/>
              </w:rPr>
              <w:t>Q3</w:t>
            </w:r>
          </w:p>
        </w:tc>
        <w:tc>
          <w:tcPr>
            <w:tcW w:w="8097" w:type="dxa"/>
            <w:shd w:val="clear" w:color="auto" w:fill="auto"/>
            <w:tcMar>
              <w:top w:w="72" w:type="dxa"/>
              <w:left w:w="144" w:type="dxa"/>
              <w:bottom w:w="72" w:type="dxa"/>
              <w:right w:w="144" w:type="dxa"/>
            </w:tcMar>
          </w:tcPr>
          <w:p w14:paraId="14870097" w14:textId="6B724849" w:rsidR="00A104F4" w:rsidRPr="00BC286F" w:rsidRDefault="00A104F4" w:rsidP="00BC286F">
            <w:pPr>
              <w:adjustRightInd w:val="0"/>
              <w:spacing w:line="0" w:lineRule="atLeast"/>
              <w:rPr>
                <w:sz w:val="22"/>
                <w:szCs w:val="22"/>
              </w:rPr>
            </w:pPr>
            <w:r w:rsidRPr="00BC286F">
              <w:rPr>
                <w:sz w:val="22"/>
                <w:szCs w:val="22"/>
              </w:rPr>
              <w:t>I ask students inferential questions and check if their answers are correct.</w:t>
            </w:r>
          </w:p>
        </w:tc>
        <w:tc>
          <w:tcPr>
            <w:tcW w:w="0" w:type="auto"/>
            <w:shd w:val="clear" w:color="auto" w:fill="auto"/>
            <w:tcMar>
              <w:top w:w="72" w:type="dxa"/>
              <w:left w:w="144" w:type="dxa"/>
              <w:bottom w:w="72" w:type="dxa"/>
              <w:right w:w="144" w:type="dxa"/>
            </w:tcMar>
          </w:tcPr>
          <w:p w14:paraId="1A2E5635" w14:textId="24603EA8" w:rsidR="00A104F4" w:rsidRPr="00BC286F" w:rsidRDefault="00A104F4" w:rsidP="00512D93">
            <w:pPr>
              <w:adjustRightInd w:val="0"/>
              <w:spacing w:line="0" w:lineRule="atLeast"/>
              <w:jc w:val="center"/>
              <w:rPr>
                <w:sz w:val="22"/>
                <w:szCs w:val="22"/>
              </w:rPr>
            </w:pPr>
            <w:r w:rsidRPr="00BC286F">
              <w:rPr>
                <w:sz w:val="22"/>
                <w:szCs w:val="22"/>
              </w:rPr>
              <w:t>0.779</w:t>
            </w:r>
          </w:p>
        </w:tc>
      </w:tr>
      <w:tr w:rsidR="00A104F4" w:rsidRPr="001625B5" w14:paraId="5AE5DEC4" w14:textId="77777777" w:rsidTr="00BC286F">
        <w:trPr>
          <w:trHeight w:hRule="exact" w:val="340"/>
        </w:trPr>
        <w:tc>
          <w:tcPr>
            <w:tcW w:w="561" w:type="dxa"/>
          </w:tcPr>
          <w:p w14:paraId="791CBFB9" w14:textId="3AAD6E05" w:rsidR="00A104F4" w:rsidRPr="00BC286F" w:rsidRDefault="00A104F4" w:rsidP="00BC286F">
            <w:pPr>
              <w:adjustRightInd w:val="0"/>
              <w:spacing w:line="0" w:lineRule="atLeast"/>
              <w:jc w:val="center"/>
              <w:rPr>
                <w:sz w:val="22"/>
                <w:szCs w:val="22"/>
              </w:rPr>
            </w:pPr>
            <w:r w:rsidRPr="00BC286F">
              <w:rPr>
                <w:sz w:val="22"/>
                <w:szCs w:val="22"/>
              </w:rPr>
              <w:t>Q4</w:t>
            </w:r>
          </w:p>
        </w:tc>
        <w:tc>
          <w:tcPr>
            <w:tcW w:w="8097" w:type="dxa"/>
            <w:shd w:val="clear" w:color="auto" w:fill="auto"/>
            <w:tcMar>
              <w:top w:w="72" w:type="dxa"/>
              <w:left w:w="144" w:type="dxa"/>
              <w:bottom w:w="72" w:type="dxa"/>
              <w:right w:w="144" w:type="dxa"/>
            </w:tcMar>
          </w:tcPr>
          <w:p w14:paraId="5EF41A9C" w14:textId="48B2080F" w:rsidR="00A104F4" w:rsidRPr="00BC286F" w:rsidRDefault="00A104F4" w:rsidP="00BC286F">
            <w:pPr>
              <w:adjustRightInd w:val="0"/>
              <w:spacing w:line="0" w:lineRule="atLeast"/>
              <w:rPr>
                <w:sz w:val="22"/>
                <w:szCs w:val="22"/>
              </w:rPr>
            </w:pPr>
            <w:r w:rsidRPr="00BC286F">
              <w:rPr>
                <w:sz w:val="22"/>
                <w:szCs w:val="22"/>
              </w:rPr>
              <w:t>I demonstrate the thinking process in answering inferential questions to students.</w:t>
            </w:r>
          </w:p>
        </w:tc>
        <w:tc>
          <w:tcPr>
            <w:tcW w:w="0" w:type="auto"/>
            <w:shd w:val="clear" w:color="auto" w:fill="auto"/>
            <w:tcMar>
              <w:top w:w="72" w:type="dxa"/>
              <w:left w:w="144" w:type="dxa"/>
              <w:bottom w:w="72" w:type="dxa"/>
              <w:right w:w="144" w:type="dxa"/>
            </w:tcMar>
          </w:tcPr>
          <w:p w14:paraId="55ADBCFE" w14:textId="463D6043" w:rsidR="00A104F4" w:rsidRPr="00BC286F" w:rsidRDefault="00A104F4" w:rsidP="00512D93">
            <w:pPr>
              <w:adjustRightInd w:val="0"/>
              <w:spacing w:line="0" w:lineRule="atLeast"/>
              <w:jc w:val="center"/>
              <w:rPr>
                <w:sz w:val="22"/>
                <w:szCs w:val="22"/>
              </w:rPr>
            </w:pPr>
            <w:r w:rsidRPr="00BC286F">
              <w:rPr>
                <w:sz w:val="22"/>
                <w:szCs w:val="22"/>
              </w:rPr>
              <w:t>0.767</w:t>
            </w:r>
          </w:p>
        </w:tc>
      </w:tr>
      <w:tr w:rsidR="00A104F4" w:rsidRPr="001625B5" w14:paraId="148785CE" w14:textId="77777777" w:rsidTr="00BC286F">
        <w:trPr>
          <w:trHeight w:hRule="exact" w:val="340"/>
        </w:trPr>
        <w:tc>
          <w:tcPr>
            <w:tcW w:w="561" w:type="dxa"/>
          </w:tcPr>
          <w:p w14:paraId="58675AFE" w14:textId="3C617895" w:rsidR="00A104F4" w:rsidRPr="00BC286F" w:rsidRDefault="00A104F4" w:rsidP="00BC286F">
            <w:pPr>
              <w:adjustRightInd w:val="0"/>
              <w:spacing w:line="0" w:lineRule="atLeast"/>
              <w:jc w:val="center"/>
              <w:rPr>
                <w:sz w:val="22"/>
                <w:szCs w:val="22"/>
              </w:rPr>
            </w:pPr>
            <w:r w:rsidRPr="00BC286F">
              <w:rPr>
                <w:sz w:val="22"/>
                <w:szCs w:val="22"/>
              </w:rPr>
              <w:t>Q11</w:t>
            </w:r>
          </w:p>
        </w:tc>
        <w:tc>
          <w:tcPr>
            <w:tcW w:w="8097" w:type="dxa"/>
            <w:shd w:val="clear" w:color="auto" w:fill="auto"/>
            <w:tcMar>
              <w:top w:w="72" w:type="dxa"/>
              <w:left w:w="144" w:type="dxa"/>
              <w:bottom w:w="72" w:type="dxa"/>
              <w:right w:w="144" w:type="dxa"/>
            </w:tcMar>
          </w:tcPr>
          <w:p w14:paraId="101A9D04" w14:textId="5E73F931" w:rsidR="00A104F4" w:rsidRPr="00BC286F" w:rsidRDefault="000B6460" w:rsidP="00BC286F">
            <w:pPr>
              <w:adjustRightInd w:val="0"/>
              <w:spacing w:line="0" w:lineRule="atLeast"/>
              <w:rPr>
                <w:sz w:val="22"/>
                <w:szCs w:val="22"/>
              </w:rPr>
            </w:pPr>
            <w:r w:rsidRPr="00BC286F">
              <w:rPr>
                <w:sz w:val="22"/>
                <w:szCs w:val="22"/>
              </w:rPr>
              <w:t>I demonstrate the thinking process of problem solving to students.</w:t>
            </w:r>
          </w:p>
        </w:tc>
        <w:tc>
          <w:tcPr>
            <w:tcW w:w="0" w:type="auto"/>
            <w:shd w:val="clear" w:color="auto" w:fill="auto"/>
            <w:tcMar>
              <w:top w:w="72" w:type="dxa"/>
              <w:left w:w="144" w:type="dxa"/>
              <w:bottom w:w="72" w:type="dxa"/>
              <w:right w:w="144" w:type="dxa"/>
            </w:tcMar>
          </w:tcPr>
          <w:p w14:paraId="680654A7" w14:textId="20891BCA" w:rsidR="00A104F4" w:rsidRPr="00BC286F" w:rsidRDefault="00A104F4" w:rsidP="00512D93">
            <w:pPr>
              <w:adjustRightInd w:val="0"/>
              <w:spacing w:line="0" w:lineRule="atLeast"/>
              <w:jc w:val="center"/>
              <w:rPr>
                <w:sz w:val="22"/>
                <w:szCs w:val="22"/>
              </w:rPr>
            </w:pPr>
            <w:r w:rsidRPr="00BC286F">
              <w:rPr>
                <w:sz w:val="22"/>
                <w:szCs w:val="22"/>
              </w:rPr>
              <w:t>0.460</w:t>
            </w:r>
          </w:p>
        </w:tc>
      </w:tr>
      <w:tr w:rsidR="00A104F4" w:rsidRPr="001625B5" w14:paraId="354A087A" w14:textId="77777777" w:rsidTr="00BC286F">
        <w:trPr>
          <w:trHeight w:hRule="exact" w:val="340"/>
        </w:trPr>
        <w:tc>
          <w:tcPr>
            <w:tcW w:w="561" w:type="dxa"/>
          </w:tcPr>
          <w:p w14:paraId="7C5D05F4" w14:textId="15F6D307" w:rsidR="00A104F4" w:rsidRPr="00BC286F" w:rsidRDefault="00A104F4" w:rsidP="00BC286F">
            <w:pPr>
              <w:adjustRightInd w:val="0"/>
              <w:spacing w:line="0" w:lineRule="atLeast"/>
              <w:jc w:val="center"/>
              <w:rPr>
                <w:sz w:val="22"/>
                <w:szCs w:val="22"/>
              </w:rPr>
            </w:pPr>
            <w:r w:rsidRPr="00BC286F">
              <w:rPr>
                <w:sz w:val="22"/>
                <w:szCs w:val="22"/>
              </w:rPr>
              <w:t>Q2</w:t>
            </w:r>
          </w:p>
        </w:tc>
        <w:tc>
          <w:tcPr>
            <w:tcW w:w="8097" w:type="dxa"/>
            <w:shd w:val="clear" w:color="auto" w:fill="auto"/>
            <w:tcMar>
              <w:top w:w="72" w:type="dxa"/>
              <w:left w:w="144" w:type="dxa"/>
              <w:bottom w:w="72" w:type="dxa"/>
              <w:right w:w="144" w:type="dxa"/>
            </w:tcMar>
          </w:tcPr>
          <w:p w14:paraId="17BA4A18" w14:textId="04F1010F" w:rsidR="00A104F4" w:rsidRPr="00BC286F" w:rsidRDefault="000B6460" w:rsidP="00BC286F">
            <w:pPr>
              <w:adjustRightInd w:val="0"/>
              <w:spacing w:line="0" w:lineRule="atLeast"/>
              <w:rPr>
                <w:sz w:val="22"/>
                <w:szCs w:val="22"/>
              </w:rPr>
            </w:pPr>
            <w:r w:rsidRPr="00BC286F">
              <w:rPr>
                <w:sz w:val="22"/>
                <w:szCs w:val="22"/>
              </w:rPr>
              <w:t>I teach students how to complete their assignments with the strategies they have learned.</w:t>
            </w:r>
          </w:p>
        </w:tc>
        <w:tc>
          <w:tcPr>
            <w:tcW w:w="0" w:type="auto"/>
            <w:shd w:val="clear" w:color="auto" w:fill="auto"/>
            <w:tcMar>
              <w:top w:w="72" w:type="dxa"/>
              <w:left w:w="144" w:type="dxa"/>
              <w:bottom w:w="72" w:type="dxa"/>
              <w:right w:w="144" w:type="dxa"/>
            </w:tcMar>
          </w:tcPr>
          <w:p w14:paraId="60B93649" w14:textId="73084E1B" w:rsidR="00A104F4" w:rsidRPr="00BC286F" w:rsidRDefault="00A104F4" w:rsidP="00512D93">
            <w:pPr>
              <w:adjustRightInd w:val="0"/>
              <w:spacing w:line="0" w:lineRule="atLeast"/>
              <w:jc w:val="center"/>
              <w:rPr>
                <w:sz w:val="22"/>
                <w:szCs w:val="22"/>
              </w:rPr>
            </w:pPr>
            <w:r w:rsidRPr="00BC286F">
              <w:rPr>
                <w:sz w:val="22"/>
                <w:szCs w:val="22"/>
              </w:rPr>
              <w:t>0.421</w:t>
            </w:r>
          </w:p>
        </w:tc>
      </w:tr>
      <w:tr w:rsidR="0055301C" w:rsidRPr="001625B5" w14:paraId="7A1457C5" w14:textId="77777777" w:rsidTr="00350505">
        <w:trPr>
          <w:trHeight w:hRule="exact" w:val="340"/>
        </w:trPr>
        <w:tc>
          <w:tcPr>
            <w:tcW w:w="9736" w:type="dxa"/>
            <w:gridSpan w:val="3"/>
          </w:tcPr>
          <w:p w14:paraId="259D3917" w14:textId="2196F7C0" w:rsidR="0055301C" w:rsidRPr="00BC286F" w:rsidRDefault="0055301C" w:rsidP="00512D93">
            <w:pPr>
              <w:adjustRightInd w:val="0"/>
              <w:spacing w:line="0" w:lineRule="atLeast"/>
              <w:rPr>
                <w:b/>
                <w:bCs/>
                <w:sz w:val="22"/>
                <w:szCs w:val="22"/>
              </w:rPr>
            </w:pPr>
            <w:r w:rsidRPr="00BC286F">
              <w:rPr>
                <w:b/>
                <w:bCs/>
                <w:sz w:val="22"/>
                <w:szCs w:val="22"/>
              </w:rPr>
              <w:t xml:space="preserve">Scale </w:t>
            </w:r>
            <w:r>
              <w:rPr>
                <w:b/>
                <w:bCs/>
                <w:sz w:val="22"/>
                <w:szCs w:val="22"/>
              </w:rPr>
              <w:t>4</w:t>
            </w:r>
            <w:r w:rsidRPr="00BC286F">
              <w:rPr>
                <w:b/>
                <w:bCs/>
                <w:sz w:val="22"/>
                <w:szCs w:val="22"/>
              </w:rPr>
              <w:t>: Motivational Feedback (eigen-value = 1.226, reliability α = 0.814)</w:t>
            </w:r>
          </w:p>
          <w:p w14:paraId="1BA3E852" w14:textId="77777777" w:rsidR="0055301C" w:rsidRPr="00BC286F" w:rsidRDefault="0055301C" w:rsidP="0055301C">
            <w:pPr>
              <w:adjustRightInd w:val="0"/>
              <w:spacing w:line="0" w:lineRule="atLeast"/>
              <w:rPr>
                <w:b/>
                <w:bCs/>
                <w:sz w:val="22"/>
                <w:szCs w:val="22"/>
              </w:rPr>
            </w:pPr>
          </w:p>
        </w:tc>
      </w:tr>
      <w:tr w:rsidR="0055301C" w:rsidRPr="001625B5" w14:paraId="70B84D1D" w14:textId="77777777" w:rsidTr="00350505">
        <w:trPr>
          <w:trHeight w:hRule="exact" w:val="340"/>
        </w:trPr>
        <w:tc>
          <w:tcPr>
            <w:tcW w:w="561" w:type="dxa"/>
          </w:tcPr>
          <w:p w14:paraId="7978136E" w14:textId="77777777" w:rsidR="0055301C" w:rsidRPr="00BC286F" w:rsidRDefault="0055301C" w:rsidP="0055301C">
            <w:pPr>
              <w:spacing w:line="0" w:lineRule="atLeast"/>
              <w:jc w:val="center"/>
              <w:rPr>
                <w:sz w:val="22"/>
                <w:szCs w:val="22"/>
              </w:rPr>
            </w:pPr>
            <w:r w:rsidRPr="00BC286F">
              <w:rPr>
                <w:sz w:val="22"/>
                <w:szCs w:val="22"/>
              </w:rPr>
              <w:t>Q23</w:t>
            </w:r>
          </w:p>
        </w:tc>
        <w:tc>
          <w:tcPr>
            <w:tcW w:w="8097" w:type="dxa"/>
            <w:shd w:val="clear" w:color="auto" w:fill="auto"/>
            <w:tcMar>
              <w:top w:w="72" w:type="dxa"/>
              <w:left w:w="144" w:type="dxa"/>
              <w:bottom w:w="72" w:type="dxa"/>
              <w:right w:w="144" w:type="dxa"/>
            </w:tcMar>
          </w:tcPr>
          <w:p w14:paraId="0E8E4E56" w14:textId="77777777" w:rsidR="0055301C" w:rsidRPr="00BC286F" w:rsidRDefault="0055301C" w:rsidP="0055301C">
            <w:pPr>
              <w:adjustRightInd w:val="0"/>
              <w:spacing w:line="0" w:lineRule="atLeast"/>
              <w:rPr>
                <w:sz w:val="22"/>
                <w:szCs w:val="22"/>
              </w:rPr>
            </w:pPr>
            <w:r w:rsidRPr="00BC286F">
              <w:rPr>
                <w:sz w:val="22"/>
                <w:szCs w:val="22"/>
              </w:rPr>
              <w:t>I motivate students’ learning by teaching them how to recognize their self-worth.</w:t>
            </w:r>
          </w:p>
        </w:tc>
        <w:tc>
          <w:tcPr>
            <w:tcW w:w="0" w:type="auto"/>
            <w:shd w:val="clear" w:color="auto" w:fill="auto"/>
            <w:tcMar>
              <w:top w:w="72" w:type="dxa"/>
              <w:left w:w="144" w:type="dxa"/>
              <w:bottom w:w="72" w:type="dxa"/>
              <w:right w:w="144" w:type="dxa"/>
            </w:tcMar>
          </w:tcPr>
          <w:p w14:paraId="045FF7F6" w14:textId="77777777" w:rsidR="0055301C" w:rsidRPr="00BC286F" w:rsidRDefault="0055301C" w:rsidP="00512D93">
            <w:pPr>
              <w:adjustRightInd w:val="0"/>
              <w:spacing w:line="0" w:lineRule="atLeast"/>
              <w:jc w:val="center"/>
              <w:rPr>
                <w:sz w:val="22"/>
                <w:szCs w:val="22"/>
              </w:rPr>
            </w:pPr>
            <w:r w:rsidRPr="00BC286F">
              <w:rPr>
                <w:sz w:val="22"/>
                <w:szCs w:val="22"/>
              </w:rPr>
              <w:t>0.794</w:t>
            </w:r>
          </w:p>
        </w:tc>
      </w:tr>
      <w:tr w:rsidR="0055301C" w:rsidRPr="001625B5" w14:paraId="5342D934" w14:textId="77777777" w:rsidTr="00350505">
        <w:trPr>
          <w:trHeight w:hRule="exact" w:val="340"/>
        </w:trPr>
        <w:tc>
          <w:tcPr>
            <w:tcW w:w="561" w:type="dxa"/>
          </w:tcPr>
          <w:p w14:paraId="69734CF1" w14:textId="77777777" w:rsidR="0055301C" w:rsidRPr="00BC286F" w:rsidRDefault="0055301C" w:rsidP="0055301C">
            <w:pPr>
              <w:spacing w:line="0" w:lineRule="atLeast"/>
              <w:jc w:val="center"/>
              <w:rPr>
                <w:sz w:val="22"/>
                <w:szCs w:val="22"/>
              </w:rPr>
            </w:pPr>
            <w:r w:rsidRPr="00BC286F">
              <w:rPr>
                <w:sz w:val="22"/>
                <w:szCs w:val="22"/>
              </w:rPr>
              <w:t>Q24</w:t>
            </w:r>
          </w:p>
        </w:tc>
        <w:tc>
          <w:tcPr>
            <w:tcW w:w="8097" w:type="dxa"/>
            <w:shd w:val="clear" w:color="auto" w:fill="auto"/>
            <w:tcMar>
              <w:top w:w="72" w:type="dxa"/>
              <w:left w:w="144" w:type="dxa"/>
              <w:bottom w:w="72" w:type="dxa"/>
              <w:right w:w="144" w:type="dxa"/>
            </w:tcMar>
          </w:tcPr>
          <w:p w14:paraId="075B99B0" w14:textId="77777777" w:rsidR="0055301C" w:rsidRPr="00BC286F" w:rsidRDefault="0055301C" w:rsidP="0055301C">
            <w:pPr>
              <w:adjustRightInd w:val="0"/>
              <w:spacing w:line="0" w:lineRule="atLeast"/>
              <w:rPr>
                <w:sz w:val="22"/>
                <w:szCs w:val="22"/>
              </w:rPr>
            </w:pPr>
            <w:r w:rsidRPr="00BC286F">
              <w:rPr>
                <w:sz w:val="22"/>
                <w:szCs w:val="22"/>
              </w:rPr>
              <w:t>I motivate students’ learning by teaching them the idea of self-reward.</w:t>
            </w:r>
          </w:p>
        </w:tc>
        <w:tc>
          <w:tcPr>
            <w:tcW w:w="0" w:type="auto"/>
            <w:shd w:val="clear" w:color="auto" w:fill="auto"/>
            <w:tcMar>
              <w:top w:w="72" w:type="dxa"/>
              <w:left w:w="144" w:type="dxa"/>
              <w:bottom w:w="72" w:type="dxa"/>
              <w:right w:w="144" w:type="dxa"/>
            </w:tcMar>
          </w:tcPr>
          <w:p w14:paraId="6023AA23" w14:textId="77777777" w:rsidR="0055301C" w:rsidRPr="00BC286F" w:rsidRDefault="0055301C" w:rsidP="00512D93">
            <w:pPr>
              <w:adjustRightInd w:val="0"/>
              <w:spacing w:line="0" w:lineRule="atLeast"/>
              <w:jc w:val="center"/>
              <w:rPr>
                <w:sz w:val="22"/>
                <w:szCs w:val="22"/>
              </w:rPr>
            </w:pPr>
            <w:r w:rsidRPr="00BC286F">
              <w:rPr>
                <w:sz w:val="22"/>
                <w:szCs w:val="22"/>
              </w:rPr>
              <w:t>0.714</w:t>
            </w:r>
          </w:p>
        </w:tc>
      </w:tr>
      <w:tr w:rsidR="0055301C" w:rsidRPr="001625B5" w14:paraId="7148B9FC" w14:textId="77777777" w:rsidTr="00350505">
        <w:trPr>
          <w:trHeight w:hRule="exact" w:val="340"/>
        </w:trPr>
        <w:tc>
          <w:tcPr>
            <w:tcW w:w="561" w:type="dxa"/>
          </w:tcPr>
          <w:p w14:paraId="46938D96" w14:textId="77777777" w:rsidR="0055301C" w:rsidRPr="00BC286F" w:rsidRDefault="0055301C" w:rsidP="0055301C">
            <w:pPr>
              <w:spacing w:line="0" w:lineRule="atLeast"/>
              <w:jc w:val="center"/>
              <w:rPr>
                <w:sz w:val="22"/>
                <w:szCs w:val="22"/>
              </w:rPr>
            </w:pPr>
            <w:r w:rsidRPr="00BC286F">
              <w:rPr>
                <w:sz w:val="22"/>
                <w:szCs w:val="22"/>
              </w:rPr>
              <w:t>Q22</w:t>
            </w:r>
          </w:p>
        </w:tc>
        <w:tc>
          <w:tcPr>
            <w:tcW w:w="8097" w:type="dxa"/>
            <w:shd w:val="clear" w:color="auto" w:fill="auto"/>
            <w:tcMar>
              <w:top w:w="72" w:type="dxa"/>
              <w:left w:w="144" w:type="dxa"/>
              <w:bottom w:w="72" w:type="dxa"/>
              <w:right w:w="144" w:type="dxa"/>
            </w:tcMar>
          </w:tcPr>
          <w:p w14:paraId="25AB8A56" w14:textId="77777777" w:rsidR="0055301C" w:rsidRPr="00BC286F" w:rsidRDefault="0055301C" w:rsidP="0055301C">
            <w:pPr>
              <w:adjustRightInd w:val="0"/>
              <w:spacing w:line="0" w:lineRule="atLeast"/>
              <w:rPr>
                <w:sz w:val="22"/>
                <w:szCs w:val="22"/>
              </w:rPr>
            </w:pPr>
            <w:r w:rsidRPr="00BC286F">
              <w:rPr>
                <w:sz w:val="22"/>
                <w:szCs w:val="22"/>
              </w:rPr>
              <w:t>I motivate students’ learning by complimenting their abilities.</w:t>
            </w:r>
          </w:p>
        </w:tc>
        <w:tc>
          <w:tcPr>
            <w:tcW w:w="0" w:type="auto"/>
            <w:shd w:val="clear" w:color="auto" w:fill="auto"/>
            <w:tcMar>
              <w:top w:w="72" w:type="dxa"/>
              <w:left w:w="144" w:type="dxa"/>
              <w:bottom w:w="72" w:type="dxa"/>
              <w:right w:w="144" w:type="dxa"/>
            </w:tcMar>
          </w:tcPr>
          <w:p w14:paraId="40E6CCB9" w14:textId="77777777" w:rsidR="0055301C" w:rsidRPr="00BC286F" w:rsidRDefault="0055301C" w:rsidP="00512D93">
            <w:pPr>
              <w:adjustRightInd w:val="0"/>
              <w:spacing w:line="0" w:lineRule="atLeast"/>
              <w:jc w:val="center"/>
              <w:rPr>
                <w:sz w:val="22"/>
                <w:szCs w:val="22"/>
              </w:rPr>
            </w:pPr>
            <w:r w:rsidRPr="00BC286F">
              <w:rPr>
                <w:sz w:val="22"/>
                <w:szCs w:val="22"/>
              </w:rPr>
              <w:t>0.707</w:t>
            </w:r>
          </w:p>
        </w:tc>
      </w:tr>
      <w:tr w:rsidR="002E2A4D" w:rsidRPr="001625B5" w14:paraId="1B41B5B7" w14:textId="77777777" w:rsidTr="00BC286F">
        <w:trPr>
          <w:trHeight w:hRule="exact" w:val="340"/>
        </w:trPr>
        <w:tc>
          <w:tcPr>
            <w:tcW w:w="9736" w:type="dxa"/>
            <w:gridSpan w:val="3"/>
          </w:tcPr>
          <w:p w14:paraId="0A3309A6" w14:textId="418EB4C0" w:rsidR="002E2A4D" w:rsidRPr="00BC286F" w:rsidRDefault="002E2A4D" w:rsidP="00512D93">
            <w:pPr>
              <w:adjustRightInd w:val="0"/>
              <w:spacing w:line="0" w:lineRule="atLeast"/>
              <w:rPr>
                <w:b/>
                <w:bCs/>
                <w:sz w:val="22"/>
                <w:szCs w:val="22"/>
              </w:rPr>
            </w:pPr>
            <w:r w:rsidRPr="00BC286F">
              <w:rPr>
                <w:b/>
                <w:bCs/>
                <w:sz w:val="22"/>
                <w:szCs w:val="22"/>
              </w:rPr>
              <w:t xml:space="preserve">Scale </w:t>
            </w:r>
            <w:r w:rsidR="0055301C">
              <w:rPr>
                <w:b/>
                <w:bCs/>
                <w:sz w:val="22"/>
                <w:szCs w:val="22"/>
              </w:rPr>
              <w:t>5</w:t>
            </w:r>
            <w:r w:rsidRPr="00BC286F">
              <w:rPr>
                <w:b/>
                <w:bCs/>
                <w:sz w:val="22"/>
                <w:szCs w:val="22"/>
              </w:rPr>
              <w:t>: Review thinking process (eigen-value = 1.026, reliability α = 0.714)</w:t>
            </w:r>
          </w:p>
          <w:p w14:paraId="106CE9B2" w14:textId="4ECF8520" w:rsidR="002E2A4D" w:rsidRPr="00BC286F" w:rsidRDefault="002E2A4D" w:rsidP="00BC286F">
            <w:pPr>
              <w:adjustRightInd w:val="0"/>
              <w:spacing w:line="0" w:lineRule="atLeast"/>
              <w:rPr>
                <w:sz w:val="22"/>
                <w:szCs w:val="22"/>
              </w:rPr>
            </w:pPr>
          </w:p>
        </w:tc>
      </w:tr>
      <w:tr w:rsidR="00A104F4" w:rsidRPr="001625B5" w14:paraId="2CF56F5C" w14:textId="77777777" w:rsidTr="00BC286F">
        <w:trPr>
          <w:trHeight w:hRule="exact" w:val="340"/>
        </w:trPr>
        <w:tc>
          <w:tcPr>
            <w:tcW w:w="561" w:type="dxa"/>
          </w:tcPr>
          <w:p w14:paraId="33BF87F9" w14:textId="6FEB6A00" w:rsidR="00A104F4" w:rsidRPr="00BC286F" w:rsidRDefault="00A104F4" w:rsidP="00BC286F">
            <w:pPr>
              <w:adjustRightInd w:val="0"/>
              <w:spacing w:line="0" w:lineRule="atLeast"/>
              <w:jc w:val="center"/>
              <w:rPr>
                <w:sz w:val="22"/>
                <w:szCs w:val="22"/>
              </w:rPr>
            </w:pPr>
            <w:r w:rsidRPr="00BC286F">
              <w:rPr>
                <w:sz w:val="22"/>
                <w:szCs w:val="22"/>
              </w:rPr>
              <w:t>Q6</w:t>
            </w:r>
          </w:p>
        </w:tc>
        <w:tc>
          <w:tcPr>
            <w:tcW w:w="8097" w:type="dxa"/>
            <w:shd w:val="clear" w:color="auto" w:fill="auto"/>
            <w:tcMar>
              <w:top w:w="72" w:type="dxa"/>
              <w:left w:w="144" w:type="dxa"/>
              <w:bottom w:w="72" w:type="dxa"/>
              <w:right w:w="144" w:type="dxa"/>
            </w:tcMar>
          </w:tcPr>
          <w:p w14:paraId="0FC63D69" w14:textId="1CDEBEEA" w:rsidR="00A104F4" w:rsidRPr="00BC286F" w:rsidRDefault="000B6460" w:rsidP="00BC286F">
            <w:pPr>
              <w:adjustRightInd w:val="0"/>
              <w:spacing w:line="0" w:lineRule="atLeast"/>
              <w:rPr>
                <w:sz w:val="22"/>
                <w:szCs w:val="22"/>
              </w:rPr>
            </w:pPr>
            <w:r w:rsidRPr="00BC286F">
              <w:rPr>
                <w:sz w:val="22"/>
                <w:szCs w:val="22"/>
              </w:rPr>
              <w:t>I review with students the thinking processes which benefit their learning after class.</w:t>
            </w:r>
          </w:p>
        </w:tc>
        <w:tc>
          <w:tcPr>
            <w:tcW w:w="0" w:type="auto"/>
            <w:shd w:val="clear" w:color="auto" w:fill="auto"/>
            <w:tcMar>
              <w:top w:w="72" w:type="dxa"/>
              <w:left w:w="144" w:type="dxa"/>
              <w:bottom w:w="72" w:type="dxa"/>
              <w:right w:w="144" w:type="dxa"/>
            </w:tcMar>
          </w:tcPr>
          <w:p w14:paraId="3F2E2DF8" w14:textId="5EAA9EF2" w:rsidR="00A104F4" w:rsidRPr="00BC286F" w:rsidRDefault="00A104F4" w:rsidP="00512D93">
            <w:pPr>
              <w:adjustRightInd w:val="0"/>
              <w:spacing w:line="0" w:lineRule="atLeast"/>
              <w:jc w:val="center"/>
              <w:rPr>
                <w:sz w:val="22"/>
                <w:szCs w:val="22"/>
              </w:rPr>
            </w:pPr>
            <w:r w:rsidRPr="00BC286F">
              <w:rPr>
                <w:sz w:val="22"/>
                <w:szCs w:val="22"/>
              </w:rPr>
              <w:t>0.720</w:t>
            </w:r>
          </w:p>
        </w:tc>
      </w:tr>
      <w:tr w:rsidR="00A104F4" w:rsidRPr="001625B5" w14:paraId="065E1EB1" w14:textId="77777777" w:rsidTr="00BC286F">
        <w:trPr>
          <w:trHeight w:hRule="exact" w:val="340"/>
        </w:trPr>
        <w:tc>
          <w:tcPr>
            <w:tcW w:w="561" w:type="dxa"/>
          </w:tcPr>
          <w:p w14:paraId="43680E18" w14:textId="474D7C04" w:rsidR="00A104F4" w:rsidRPr="00BC286F" w:rsidRDefault="00A104F4" w:rsidP="00BC286F">
            <w:pPr>
              <w:adjustRightInd w:val="0"/>
              <w:spacing w:line="0" w:lineRule="atLeast"/>
              <w:jc w:val="center"/>
              <w:rPr>
                <w:sz w:val="22"/>
                <w:szCs w:val="22"/>
              </w:rPr>
            </w:pPr>
            <w:r w:rsidRPr="00BC286F">
              <w:rPr>
                <w:sz w:val="22"/>
                <w:szCs w:val="22"/>
              </w:rPr>
              <w:t>Q7</w:t>
            </w:r>
          </w:p>
        </w:tc>
        <w:tc>
          <w:tcPr>
            <w:tcW w:w="8097" w:type="dxa"/>
            <w:shd w:val="clear" w:color="auto" w:fill="auto"/>
            <w:tcMar>
              <w:top w:w="72" w:type="dxa"/>
              <w:left w:w="144" w:type="dxa"/>
              <w:bottom w:w="72" w:type="dxa"/>
              <w:right w:w="144" w:type="dxa"/>
            </w:tcMar>
          </w:tcPr>
          <w:p w14:paraId="09F1754E" w14:textId="149421F6" w:rsidR="00A104F4" w:rsidRPr="00BC286F" w:rsidRDefault="000B6460" w:rsidP="00BC286F">
            <w:pPr>
              <w:adjustRightInd w:val="0"/>
              <w:spacing w:line="0" w:lineRule="atLeast"/>
              <w:rPr>
                <w:sz w:val="22"/>
                <w:szCs w:val="22"/>
              </w:rPr>
            </w:pPr>
            <w:r w:rsidRPr="00BC286F">
              <w:rPr>
                <w:sz w:val="22"/>
                <w:szCs w:val="22"/>
              </w:rPr>
              <w:t>I assess whether students can report their learning processes.</w:t>
            </w:r>
          </w:p>
        </w:tc>
        <w:tc>
          <w:tcPr>
            <w:tcW w:w="0" w:type="auto"/>
            <w:shd w:val="clear" w:color="auto" w:fill="auto"/>
            <w:tcMar>
              <w:top w:w="72" w:type="dxa"/>
              <w:left w:w="144" w:type="dxa"/>
              <w:bottom w:w="72" w:type="dxa"/>
              <w:right w:w="144" w:type="dxa"/>
            </w:tcMar>
          </w:tcPr>
          <w:p w14:paraId="0F2DE8DC" w14:textId="6BF42569" w:rsidR="00A104F4" w:rsidRPr="00BC286F" w:rsidRDefault="00A104F4" w:rsidP="00512D93">
            <w:pPr>
              <w:adjustRightInd w:val="0"/>
              <w:spacing w:line="0" w:lineRule="atLeast"/>
              <w:jc w:val="center"/>
              <w:rPr>
                <w:sz w:val="22"/>
                <w:szCs w:val="22"/>
              </w:rPr>
            </w:pPr>
            <w:r w:rsidRPr="00BC286F">
              <w:rPr>
                <w:sz w:val="22"/>
                <w:szCs w:val="22"/>
              </w:rPr>
              <w:t>0.665</w:t>
            </w:r>
          </w:p>
        </w:tc>
      </w:tr>
      <w:tr w:rsidR="00A104F4" w:rsidRPr="001625B5" w14:paraId="7F09D701" w14:textId="77777777" w:rsidTr="00BC286F">
        <w:trPr>
          <w:trHeight w:hRule="exact" w:val="340"/>
        </w:trPr>
        <w:tc>
          <w:tcPr>
            <w:tcW w:w="561" w:type="dxa"/>
          </w:tcPr>
          <w:p w14:paraId="23C47011" w14:textId="25B47F56" w:rsidR="00A104F4" w:rsidRPr="00BC286F" w:rsidRDefault="00A104F4" w:rsidP="00BC286F">
            <w:pPr>
              <w:adjustRightInd w:val="0"/>
              <w:spacing w:line="0" w:lineRule="atLeast"/>
              <w:jc w:val="center"/>
              <w:rPr>
                <w:sz w:val="22"/>
                <w:szCs w:val="22"/>
              </w:rPr>
            </w:pPr>
            <w:r w:rsidRPr="00BC286F">
              <w:rPr>
                <w:sz w:val="22"/>
                <w:szCs w:val="22"/>
              </w:rPr>
              <w:t>Q8</w:t>
            </w:r>
          </w:p>
        </w:tc>
        <w:tc>
          <w:tcPr>
            <w:tcW w:w="8097" w:type="dxa"/>
            <w:shd w:val="clear" w:color="auto" w:fill="auto"/>
            <w:tcMar>
              <w:top w:w="72" w:type="dxa"/>
              <w:left w:w="144" w:type="dxa"/>
              <w:bottom w:w="72" w:type="dxa"/>
              <w:right w:w="144" w:type="dxa"/>
            </w:tcMar>
          </w:tcPr>
          <w:p w14:paraId="420C0767" w14:textId="05021EA5" w:rsidR="00A104F4" w:rsidRPr="00BC286F" w:rsidRDefault="000B6460" w:rsidP="00BC286F">
            <w:pPr>
              <w:adjustRightInd w:val="0"/>
              <w:spacing w:line="0" w:lineRule="atLeast"/>
              <w:rPr>
                <w:sz w:val="22"/>
                <w:szCs w:val="22"/>
              </w:rPr>
            </w:pPr>
            <w:r w:rsidRPr="00BC286F">
              <w:rPr>
                <w:sz w:val="22"/>
                <w:szCs w:val="22"/>
              </w:rPr>
              <w:t>I assign class time for students to report how they solve problems.</w:t>
            </w:r>
          </w:p>
        </w:tc>
        <w:tc>
          <w:tcPr>
            <w:tcW w:w="0" w:type="auto"/>
            <w:shd w:val="clear" w:color="auto" w:fill="auto"/>
            <w:tcMar>
              <w:top w:w="72" w:type="dxa"/>
              <w:left w:w="144" w:type="dxa"/>
              <w:bottom w:w="72" w:type="dxa"/>
              <w:right w:w="144" w:type="dxa"/>
            </w:tcMar>
          </w:tcPr>
          <w:p w14:paraId="6284E257" w14:textId="0A868902" w:rsidR="00A104F4" w:rsidRPr="00BC286F" w:rsidRDefault="00A104F4" w:rsidP="00512D93">
            <w:pPr>
              <w:adjustRightInd w:val="0"/>
              <w:spacing w:line="0" w:lineRule="atLeast"/>
              <w:jc w:val="center"/>
              <w:rPr>
                <w:sz w:val="22"/>
                <w:szCs w:val="22"/>
              </w:rPr>
            </w:pPr>
            <w:r w:rsidRPr="00BC286F">
              <w:rPr>
                <w:sz w:val="22"/>
                <w:szCs w:val="22"/>
              </w:rPr>
              <w:t>0.560</w:t>
            </w:r>
          </w:p>
        </w:tc>
      </w:tr>
    </w:tbl>
    <w:p w14:paraId="6F7B9F0F" w14:textId="77777777" w:rsidR="00BC286F" w:rsidRDefault="00BC286F" w:rsidP="00BC286F">
      <w:pPr>
        <w:spacing w:line="0" w:lineRule="atLeast"/>
        <w:ind w:firstLine="482"/>
        <w:jc w:val="both"/>
      </w:pPr>
    </w:p>
    <w:p w14:paraId="7491E55A" w14:textId="6809603E" w:rsidR="00BC286F" w:rsidRPr="007C5A96" w:rsidRDefault="00BC286F" w:rsidP="00BC286F">
      <w:pPr>
        <w:spacing w:line="0" w:lineRule="atLeast"/>
        <w:ind w:firstLine="482"/>
        <w:jc w:val="both"/>
      </w:pPr>
      <w:r w:rsidRPr="00B66343">
        <w:t>The results of the post survey of the experimental group show that the scale means of all the teaching principals are higher than 5.0 within the 6 point-scale</w:t>
      </w:r>
      <w:r w:rsidR="00512D93">
        <w:t xml:space="preserve"> (see table 2)</w:t>
      </w:r>
      <w:r w:rsidRPr="00B66343">
        <w:t>; this indicates</w:t>
      </w:r>
      <w:r w:rsidRPr="007C5A96">
        <w:t xml:space="preserve"> that the pre-service teachers agree they know how to practice these five metacognitive teaching strategies. They can visualize teacher’s thinking process to students through modelling and think aloud; engage students in thought-provoking reflections through problem solving activities; facilitate t</w:t>
      </w:r>
      <w:r>
        <w:t xml:space="preserve">hem to review their problem </w:t>
      </w:r>
      <w:r w:rsidRPr="007C5A96">
        <w:t xml:space="preserve">solving process; provide motivational feedback to student and develop pupils’ self-regulation learning </w:t>
      </w:r>
      <w:proofErr w:type="spellStart"/>
      <w:r w:rsidRPr="007C5A96">
        <w:t>behaviors</w:t>
      </w:r>
      <w:proofErr w:type="spellEnd"/>
      <w:r w:rsidRPr="007C5A96">
        <w:t xml:space="preserve">. </w:t>
      </w:r>
    </w:p>
    <w:p w14:paraId="1C18A4E9" w14:textId="77777777" w:rsidR="00BC286F" w:rsidRPr="007C5A96" w:rsidRDefault="00BC286F" w:rsidP="00BC286F">
      <w:pPr>
        <w:spacing w:line="0" w:lineRule="atLeast"/>
        <w:ind w:firstLine="482"/>
        <w:jc w:val="both"/>
      </w:pPr>
    </w:p>
    <w:p w14:paraId="787B31D1" w14:textId="77777777" w:rsidR="00BC286F" w:rsidRPr="007C5A96" w:rsidRDefault="00BC286F" w:rsidP="00BC286F">
      <w:pPr>
        <w:spacing w:line="0" w:lineRule="atLeast"/>
        <w:ind w:firstLine="482"/>
        <w:jc w:val="both"/>
      </w:pPr>
      <w:r w:rsidRPr="007C5A96">
        <w:lastRenderedPageBreak/>
        <w:t xml:space="preserve">Positive incremental scores for all the five teaching principles between pre-post survey in both the control group and experimental group were identified. However, the results of the t-tests show that significant differences between pre-post survey were found in modelling thinking process(p=0.007), thought-provoking reflections (p=0.000), and review thinking process (p=0.044) in the experimental group. For the control group, only the incremental scores of the review thinking process (0.015) was identified to be significant differences between pre-post survey.  </w:t>
      </w:r>
    </w:p>
    <w:p w14:paraId="042A8D4E" w14:textId="77777777" w:rsidR="00BC286F" w:rsidRPr="000B6460" w:rsidRDefault="00BC286F" w:rsidP="00323481">
      <w:pPr>
        <w:pStyle w:val="Default"/>
        <w:rPr>
          <w:rFonts w:ascii="Times New Roman" w:eastAsiaTheme="minorEastAsia" w:hAnsi="Times New Roman" w:cs="Times New Roman"/>
          <w:color w:val="auto"/>
          <w:lang w:val="en-GB" w:eastAsia="zh-CN"/>
        </w:rPr>
      </w:pPr>
    </w:p>
    <w:p w14:paraId="0494F518" w14:textId="2115530E" w:rsidR="006F6574" w:rsidRPr="000B6460" w:rsidRDefault="001625B5" w:rsidP="00323481">
      <w:pPr>
        <w:pStyle w:val="Default"/>
        <w:rPr>
          <w:rFonts w:ascii="Times New Roman" w:hAnsi="Times New Roman" w:cs="Times New Roman"/>
        </w:rPr>
      </w:pPr>
      <w:r w:rsidRPr="000B6460">
        <w:rPr>
          <w:rFonts w:ascii="Times New Roman" w:hAnsi="Times New Roman" w:cs="Times New Roman"/>
        </w:rPr>
        <w:t>Table 2 T-Test</w:t>
      </w:r>
      <w:r w:rsidR="00512D93">
        <w:rPr>
          <w:rFonts w:ascii="Times New Roman" w:hAnsi="Times New Roman" w:cs="Times New Roman"/>
        </w:rPr>
        <w:t>s</w:t>
      </w:r>
      <w:r w:rsidRPr="000B6460">
        <w:rPr>
          <w:rFonts w:ascii="Times New Roman" w:hAnsi="Times New Roman" w:cs="Times New Roman"/>
        </w:rPr>
        <w:t xml:space="preserve"> on the five teaching </w:t>
      </w:r>
      <w:r w:rsidR="007C09B1" w:rsidRPr="000B6460">
        <w:rPr>
          <w:rFonts w:ascii="Times New Roman" w:hAnsi="Times New Roman" w:cs="Times New Roman"/>
        </w:rPr>
        <w:t xml:space="preserve">principles </w:t>
      </w:r>
    </w:p>
    <w:tbl>
      <w:tblPr>
        <w:tblStyle w:val="TableGrid"/>
        <w:tblW w:w="0" w:type="auto"/>
        <w:tblLayout w:type="fixed"/>
        <w:tblLook w:val="04A0" w:firstRow="1" w:lastRow="0" w:firstColumn="1" w:lastColumn="0" w:noHBand="0" w:noVBand="1"/>
      </w:tblPr>
      <w:tblGrid>
        <w:gridCol w:w="3539"/>
        <w:gridCol w:w="992"/>
        <w:gridCol w:w="993"/>
        <w:gridCol w:w="992"/>
        <w:gridCol w:w="992"/>
        <w:gridCol w:w="992"/>
        <w:gridCol w:w="1134"/>
      </w:tblGrid>
      <w:tr w:rsidR="000724C3" w:rsidRPr="000B6460" w14:paraId="0FBAD950" w14:textId="77777777" w:rsidTr="000B6460">
        <w:tc>
          <w:tcPr>
            <w:tcW w:w="3539" w:type="dxa"/>
          </w:tcPr>
          <w:p w14:paraId="618B3AC3" w14:textId="77777777" w:rsidR="000724C3" w:rsidRPr="000B6460" w:rsidRDefault="000724C3" w:rsidP="000724C3">
            <w:pPr>
              <w:pStyle w:val="Default"/>
              <w:spacing w:line="0" w:lineRule="atLeast"/>
              <w:jc w:val="center"/>
              <w:rPr>
                <w:rFonts w:ascii="Times New Roman" w:cs="Times New Roman"/>
                <w:sz w:val="24"/>
              </w:rPr>
            </w:pPr>
          </w:p>
        </w:tc>
        <w:tc>
          <w:tcPr>
            <w:tcW w:w="2977" w:type="dxa"/>
            <w:gridSpan w:val="3"/>
          </w:tcPr>
          <w:p w14:paraId="5ED65207" w14:textId="77777777" w:rsidR="00213211" w:rsidRPr="000B6460" w:rsidRDefault="00213211" w:rsidP="000724C3">
            <w:pPr>
              <w:pStyle w:val="Default"/>
              <w:spacing w:line="0" w:lineRule="atLeast"/>
              <w:jc w:val="center"/>
              <w:rPr>
                <w:rFonts w:ascii="Times New Roman" w:cs="Times New Roman"/>
                <w:sz w:val="24"/>
              </w:rPr>
            </w:pPr>
            <w:r w:rsidRPr="000B6460">
              <w:rPr>
                <w:rFonts w:ascii="Times New Roman" w:cs="Times New Roman"/>
                <w:sz w:val="24"/>
              </w:rPr>
              <w:t xml:space="preserve">Control group </w:t>
            </w:r>
          </w:p>
        </w:tc>
        <w:tc>
          <w:tcPr>
            <w:tcW w:w="3118" w:type="dxa"/>
            <w:gridSpan w:val="3"/>
          </w:tcPr>
          <w:p w14:paraId="5FCE7DBE" w14:textId="77777777" w:rsidR="00213211" w:rsidRPr="000B6460" w:rsidRDefault="00213211" w:rsidP="000724C3">
            <w:pPr>
              <w:pStyle w:val="Default"/>
              <w:spacing w:line="0" w:lineRule="atLeast"/>
              <w:jc w:val="center"/>
              <w:rPr>
                <w:rFonts w:ascii="Times New Roman" w:cs="Times New Roman"/>
                <w:sz w:val="24"/>
              </w:rPr>
            </w:pPr>
            <w:r w:rsidRPr="000B6460">
              <w:rPr>
                <w:rFonts w:ascii="Times New Roman" w:cs="Times New Roman"/>
                <w:sz w:val="24"/>
              </w:rPr>
              <w:t>Experiment group</w:t>
            </w:r>
          </w:p>
        </w:tc>
      </w:tr>
      <w:tr w:rsidR="007C09B1" w:rsidRPr="000B6460" w14:paraId="773C6A88" w14:textId="77777777" w:rsidTr="000B6460">
        <w:tc>
          <w:tcPr>
            <w:tcW w:w="3539" w:type="dxa"/>
          </w:tcPr>
          <w:p w14:paraId="0E2F8C23" w14:textId="77777777" w:rsidR="000724C3" w:rsidRPr="000B6460" w:rsidRDefault="000724C3" w:rsidP="000724C3">
            <w:pPr>
              <w:pStyle w:val="Default"/>
              <w:spacing w:line="0" w:lineRule="atLeast"/>
              <w:rPr>
                <w:rFonts w:ascii="Times New Roman" w:cs="Times New Roman"/>
                <w:sz w:val="24"/>
              </w:rPr>
            </w:pPr>
          </w:p>
        </w:tc>
        <w:tc>
          <w:tcPr>
            <w:tcW w:w="992" w:type="dxa"/>
          </w:tcPr>
          <w:p w14:paraId="511FC56C"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Pretest Mean</w:t>
            </w:r>
          </w:p>
        </w:tc>
        <w:tc>
          <w:tcPr>
            <w:tcW w:w="993" w:type="dxa"/>
          </w:tcPr>
          <w:p w14:paraId="4AE5AE9A" w14:textId="77777777" w:rsidR="000724C3" w:rsidRPr="000B6460" w:rsidRDefault="006A300E" w:rsidP="000724C3">
            <w:pPr>
              <w:pStyle w:val="Default"/>
              <w:spacing w:line="0" w:lineRule="atLeast"/>
              <w:rPr>
                <w:rFonts w:ascii="Times New Roman" w:cs="Times New Roman"/>
                <w:sz w:val="24"/>
              </w:rPr>
            </w:pPr>
            <w:r w:rsidRPr="000B6460">
              <w:rPr>
                <w:rFonts w:ascii="Times New Roman" w:cs="Times New Roman"/>
                <w:sz w:val="24"/>
              </w:rPr>
              <w:t>P</w:t>
            </w:r>
            <w:r w:rsidR="000724C3" w:rsidRPr="000B6460">
              <w:rPr>
                <w:rFonts w:ascii="Times New Roman" w:cs="Times New Roman"/>
                <w:sz w:val="24"/>
              </w:rPr>
              <w:t>osttest mean</w:t>
            </w:r>
          </w:p>
        </w:tc>
        <w:tc>
          <w:tcPr>
            <w:tcW w:w="992" w:type="dxa"/>
          </w:tcPr>
          <w:p w14:paraId="68683923"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P-values</w:t>
            </w:r>
          </w:p>
        </w:tc>
        <w:tc>
          <w:tcPr>
            <w:tcW w:w="992" w:type="dxa"/>
          </w:tcPr>
          <w:p w14:paraId="0164E2D6"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Pre-test</w:t>
            </w:r>
          </w:p>
          <w:p w14:paraId="165EED88"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Mean</w:t>
            </w:r>
          </w:p>
        </w:tc>
        <w:tc>
          <w:tcPr>
            <w:tcW w:w="992" w:type="dxa"/>
          </w:tcPr>
          <w:p w14:paraId="52CB4051" w14:textId="77777777" w:rsidR="000724C3" w:rsidRPr="000B6460" w:rsidRDefault="006A300E" w:rsidP="000724C3">
            <w:pPr>
              <w:pStyle w:val="Default"/>
              <w:spacing w:line="0" w:lineRule="atLeast"/>
              <w:rPr>
                <w:rFonts w:ascii="Times New Roman" w:cs="Times New Roman"/>
                <w:sz w:val="24"/>
              </w:rPr>
            </w:pPr>
            <w:r w:rsidRPr="000B6460">
              <w:rPr>
                <w:rFonts w:ascii="Times New Roman" w:cs="Times New Roman"/>
                <w:sz w:val="24"/>
              </w:rPr>
              <w:t>P</w:t>
            </w:r>
            <w:r w:rsidR="000724C3" w:rsidRPr="000B6460">
              <w:rPr>
                <w:rFonts w:ascii="Times New Roman" w:cs="Times New Roman"/>
                <w:sz w:val="24"/>
              </w:rPr>
              <w:t>osttest mean</w:t>
            </w:r>
          </w:p>
        </w:tc>
        <w:tc>
          <w:tcPr>
            <w:tcW w:w="1134" w:type="dxa"/>
          </w:tcPr>
          <w:p w14:paraId="5A6F3476"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P-values</w:t>
            </w:r>
          </w:p>
        </w:tc>
      </w:tr>
      <w:tr w:rsidR="007C09B1" w:rsidRPr="000B6460" w14:paraId="553F9246" w14:textId="77777777" w:rsidTr="000B6460">
        <w:tc>
          <w:tcPr>
            <w:tcW w:w="3539" w:type="dxa"/>
          </w:tcPr>
          <w:p w14:paraId="63CFD12D" w14:textId="588B0E5D" w:rsidR="000724C3" w:rsidRPr="000B6460" w:rsidRDefault="008C15F4" w:rsidP="000724C3">
            <w:pPr>
              <w:pStyle w:val="Default"/>
              <w:spacing w:line="0" w:lineRule="atLeast"/>
              <w:rPr>
                <w:rFonts w:ascii="Times New Roman" w:cs="Times New Roman"/>
                <w:sz w:val="24"/>
              </w:rPr>
            </w:pPr>
            <w:r w:rsidRPr="000B6460">
              <w:rPr>
                <w:rFonts w:ascii="Times New Roman" w:cs="Times New Roman"/>
                <w:sz w:val="24"/>
              </w:rPr>
              <w:t xml:space="preserve">Modeling thinking </w:t>
            </w:r>
          </w:p>
        </w:tc>
        <w:tc>
          <w:tcPr>
            <w:tcW w:w="992" w:type="dxa"/>
          </w:tcPr>
          <w:p w14:paraId="3698893C"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4.99</w:t>
            </w:r>
          </w:p>
        </w:tc>
        <w:tc>
          <w:tcPr>
            <w:tcW w:w="993" w:type="dxa"/>
          </w:tcPr>
          <w:p w14:paraId="14D58D21"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5.00</w:t>
            </w:r>
          </w:p>
        </w:tc>
        <w:tc>
          <w:tcPr>
            <w:tcW w:w="992" w:type="dxa"/>
          </w:tcPr>
          <w:p w14:paraId="5F93E5A8"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0.92</w:t>
            </w:r>
          </w:p>
        </w:tc>
        <w:tc>
          <w:tcPr>
            <w:tcW w:w="992" w:type="dxa"/>
          </w:tcPr>
          <w:p w14:paraId="47DE407D"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5.05</w:t>
            </w:r>
          </w:p>
        </w:tc>
        <w:tc>
          <w:tcPr>
            <w:tcW w:w="992" w:type="dxa"/>
          </w:tcPr>
          <w:p w14:paraId="345CC8D0"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5.34</w:t>
            </w:r>
          </w:p>
        </w:tc>
        <w:tc>
          <w:tcPr>
            <w:tcW w:w="1134" w:type="dxa"/>
          </w:tcPr>
          <w:p w14:paraId="66909F63"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0.007</w:t>
            </w:r>
          </w:p>
        </w:tc>
      </w:tr>
      <w:tr w:rsidR="007C09B1" w:rsidRPr="000B6460" w14:paraId="5AB92857" w14:textId="77777777" w:rsidTr="000B6460">
        <w:tc>
          <w:tcPr>
            <w:tcW w:w="3539" w:type="dxa"/>
          </w:tcPr>
          <w:p w14:paraId="02DB6432" w14:textId="7BA48049" w:rsidR="000724C3" w:rsidRPr="000B6460" w:rsidRDefault="008C15F4" w:rsidP="000724C3">
            <w:pPr>
              <w:pStyle w:val="Default"/>
              <w:spacing w:line="0" w:lineRule="atLeast"/>
              <w:rPr>
                <w:rFonts w:ascii="Times New Roman" w:cs="Times New Roman"/>
                <w:sz w:val="24"/>
              </w:rPr>
            </w:pPr>
            <w:bookmarkStart w:id="6" w:name="_Hlk46676129"/>
            <w:r w:rsidRPr="000B6460">
              <w:rPr>
                <w:rFonts w:ascii="Times New Roman" w:cs="Times New Roman"/>
                <w:sz w:val="24"/>
              </w:rPr>
              <w:t>Thought-Provoking reflections</w:t>
            </w:r>
            <w:bookmarkEnd w:id="6"/>
          </w:p>
        </w:tc>
        <w:tc>
          <w:tcPr>
            <w:tcW w:w="992" w:type="dxa"/>
          </w:tcPr>
          <w:p w14:paraId="359F80B2"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5.05</w:t>
            </w:r>
          </w:p>
        </w:tc>
        <w:tc>
          <w:tcPr>
            <w:tcW w:w="993" w:type="dxa"/>
          </w:tcPr>
          <w:p w14:paraId="4318FECA"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5.01</w:t>
            </w:r>
          </w:p>
        </w:tc>
        <w:tc>
          <w:tcPr>
            <w:tcW w:w="992" w:type="dxa"/>
          </w:tcPr>
          <w:p w14:paraId="30F358DC"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0.739</w:t>
            </w:r>
          </w:p>
        </w:tc>
        <w:tc>
          <w:tcPr>
            <w:tcW w:w="992" w:type="dxa"/>
          </w:tcPr>
          <w:p w14:paraId="02A4C2B9"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5.11</w:t>
            </w:r>
          </w:p>
        </w:tc>
        <w:tc>
          <w:tcPr>
            <w:tcW w:w="992" w:type="dxa"/>
          </w:tcPr>
          <w:p w14:paraId="05CEDBAC"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5.48</w:t>
            </w:r>
          </w:p>
        </w:tc>
        <w:tc>
          <w:tcPr>
            <w:tcW w:w="1134" w:type="dxa"/>
          </w:tcPr>
          <w:p w14:paraId="6BCE0C42"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0.000</w:t>
            </w:r>
          </w:p>
        </w:tc>
      </w:tr>
      <w:tr w:rsidR="007C09B1" w:rsidRPr="000B6460" w14:paraId="2529AD00" w14:textId="77777777" w:rsidTr="000B6460">
        <w:tc>
          <w:tcPr>
            <w:tcW w:w="3539" w:type="dxa"/>
          </w:tcPr>
          <w:p w14:paraId="0C4D8393" w14:textId="33C05754" w:rsidR="000724C3" w:rsidRPr="000B6460" w:rsidRDefault="008C15F4" w:rsidP="007C09B1">
            <w:pPr>
              <w:pStyle w:val="Default"/>
              <w:spacing w:line="0" w:lineRule="atLeast"/>
              <w:rPr>
                <w:rFonts w:ascii="Times New Roman" w:cs="Times New Roman"/>
                <w:sz w:val="24"/>
              </w:rPr>
            </w:pPr>
            <w:r w:rsidRPr="000B6460">
              <w:rPr>
                <w:rFonts w:ascii="Times New Roman" w:cs="Times New Roman"/>
                <w:sz w:val="24"/>
              </w:rPr>
              <w:t>Reviewing thinking process</w:t>
            </w:r>
          </w:p>
        </w:tc>
        <w:tc>
          <w:tcPr>
            <w:tcW w:w="992" w:type="dxa"/>
          </w:tcPr>
          <w:p w14:paraId="14BD5C72"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4.55</w:t>
            </w:r>
          </w:p>
        </w:tc>
        <w:tc>
          <w:tcPr>
            <w:tcW w:w="993" w:type="dxa"/>
          </w:tcPr>
          <w:p w14:paraId="3F90442D"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4.93</w:t>
            </w:r>
          </w:p>
        </w:tc>
        <w:tc>
          <w:tcPr>
            <w:tcW w:w="992" w:type="dxa"/>
          </w:tcPr>
          <w:p w14:paraId="1C94461F" w14:textId="77777777" w:rsidR="000724C3" w:rsidRPr="000B6460" w:rsidRDefault="00807EB6" w:rsidP="000724C3">
            <w:pPr>
              <w:pStyle w:val="Default"/>
              <w:spacing w:line="0" w:lineRule="atLeast"/>
              <w:rPr>
                <w:rFonts w:ascii="Times New Roman" w:cs="Times New Roman"/>
                <w:sz w:val="24"/>
              </w:rPr>
            </w:pPr>
            <w:r w:rsidRPr="000B6460">
              <w:rPr>
                <w:rFonts w:ascii="Times New Roman" w:cs="Times New Roman"/>
                <w:sz w:val="24"/>
              </w:rPr>
              <w:t>0.015</w:t>
            </w:r>
          </w:p>
        </w:tc>
        <w:tc>
          <w:tcPr>
            <w:tcW w:w="992" w:type="dxa"/>
          </w:tcPr>
          <w:p w14:paraId="7F52C995" w14:textId="77777777" w:rsidR="000724C3" w:rsidRPr="000B6460" w:rsidRDefault="00807EB6" w:rsidP="000724C3">
            <w:pPr>
              <w:pStyle w:val="Default"/>
              <w:spacing w:line="0" w:lineRule="atLeast"/>
              <w:rPr>
                <w:rFonts w:ascii="Times New Roman" w:cs="Times New Roman"/>
                <w:sz w:val="24"/>
                <w:highlight w:val="yellow"/>
              </w:rPr>
            </w:pPr>
            <w:r w:rsidRPr="000B6460">
              <w:rPr>
                <w:rFonts w:ascii="Times New Roman" w:cs="Times New Roman"/>
                <w:sz w:val="24"/>
                <w:highlight w:val="yellow"/>
              </w:rPr>
              <w:t>4.19</w:t>
            </w:r>
          </w:p>
        </w:tc>
        <w:tc>
          <w:tcPr>
            <w:tcW w:w="992" w:type="dxa"/>
          </w:tcPr>
          <w:p w14:paraId="260C4D6B" w14:textId="77777777" w:rsidR="000724C3" w:rsidRPr="000B6460" w:rsidRDefault="00807EB6" w:rsidP="000724C3">
            <w:pPr>
              <w:pStyle w:val="Default"/>
              <w:spacing w:line="0" w:lineRule="atLeast"/>
              <w:rPr>
                <w:rFonts w:ascii="Times New Roman" w:cs="Times New Roman"/>
                <w:sz w:val="24"/>
                <w:highlight w:val="yellow"/>
              </w:rPr>
            </w:pPr>
            <w:r w:rsidRPr="000B6460">
              <w:rPr>
                <w:rFonts w:ascii="Times New Roman" w:cs="Times New Roman"/>
                <w:sz w:val="24"/>
                <w:highlight w:val="yellow"/>
              </w:rPr>
              <w:t>5.05</w:t>
            </w:r>
          </w:p>
        </w:tc>
        <w:tc>
          <w:tcPr>
            <w:tcW w:w="1134" w:type="dxa"/>
          </w:tcPr>
          <w:p w14:paraId="4102D81D" w14:textId="77777777" w:rsidR="000724C3" w:rsidRPr="000B6460" w:rsidRDefault="00807EB6" w:rsidP="000724C3">
            <w:pPr>
              <w:pStyle w:val="Default"/>
              <w:spacing w:line="0" w:lineRule="atLeast"/>
              <w:rPr>
                <w:rFonts w:ascii="Times New Roman" w:cs="Times New Roman"/>
                <w:sz w:val="24"/>
                <w:highlight w:val="yellow"/>
              </w:rPr>
            </w:pPr>
            <w:r w:rsidRPr="000B6460">
              <w:rPr>
                <w:rFonts w:ascii="Times New Roman" w:cs="Times New Roman"/>
                <w:sz w:val="24"/>
                <w:highlight w:val="yellow"/>
              </w:rPr>
              <w:t>0.044</w:t>
            </w:r>
          </w:p>
        </w:tc>
      </w:tr>
      <w:tr w:rsidR="007C09B1" w:rsidRPr="000B6460" w14:paraId="2BB1B5F2" w14:textId="77777777" w:rsidTr="000B6460">
        <w:tc>
          <w:tcPr>
            <w:tcW w:w="3539" w:type="dxa"/>
          </w:tcPr>
          <w:p w14:paraId="4ADE9205" w14:textId="23FEDD38" w:rsidR="000724C3" w:rsidRPr="000B6460" w:rsidRDefault="008C15F4" w:rsidP="000724C3">
            <w:pPr>
              <w:pStyle w:val="Default"/>
              <w:spacing w:line="0" w:lineRule="atLeast"/>
              <w:rPr>
                <w:rFonts w:ascii="Times New Roman" w:cs="Times New Roman"/>
                <w:sz w:val="24"/>
              </w:rPr>
            </w:pPr>
            <w:r w:rsidRPr="000B6460">
              <w:rPr>
                <w:rFonts w:ascii="Times New Roman" w:cs="Times New Roman"/>
                <w:sz w:val="24"/>
              </w:rPr>
              <w:t xml:space="preserve">Enable </w:t>
            </w:r>
            <w:r w:rsidR="00DF6DAD" w:rsidRPr="000B6460">
              <w:rPr>
                <w:rFonts w:ascii="Times New Roman" w:cs="Times New Roman"/>
                <w:sz w:val="24"/>
              </w:rPr>
              <w:t>self-regulation</w:t>
            </w:r>
          </w:p>
        </w:tc>
        <w:tc>
          <w:tcPr>
            <w:tcW w:w="992" w:type="dxa"/>
          </w:tcPr>
          <w:p w14:paraId="5794AC6C"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4.92</w:t>
            </w:r>
          </w:p>
        </w:tc>
        <w:tc>
          <w:tcPr>
            <w:tcW w:w="993" w:type="dxa"/>
          </w:tcPr>
          <w:p w14:paraId="7DA78692"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4.95</w:t>
            </w:r>
          </w:p>
        </w:tc>
        <w:tc>
          <w:tcPr>
            <w:tcW w:w="992" w:type="dxa"/>
          </w:tcPr>
          <w:p w14:paraId="1EE278FD"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0.809</w:t>
            </w:r>
          </w:p>
        </w:tc>
        <w:tc>
          <w:tcPr>
            <w:tcW w:w="992" w:type="dxa"/>
          </w:tcPr>
          <w:p w14:paraId="714855C1"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5.08</w:t>
            </w:r>
          </w:p>
        </w:tc>
        <w:tc>
          <w:tcPr>
            <w:tcW w:w="992" w:type="dxa"/>
          </w:tcPr>
          <w:p w14:paraId="7F0EB0C4"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5.27</w:t>
            </w:r>
          </w:p>
        </w:tc>
        <w:tc>
          <w:tcPr>
            <w:tcW w:w="1134" w:type="dxa"/>
          </w:tcPr>
          <w:p w14:paraId="71A03F85"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0.139</w:t>
            </w:r>
          </w:p>
        </w:tc>
      </w:tr>
      <w:tr w:rsidR="007C09B1" w:rsidRPr="000B6460" w14:paraId="296A1865" w14:textId="77777777" w:rsidTr="000B6460">
        <w:tc>
          <w:tcPr>
            <w:tcW w:w="3539" w:type="dxa"/>
          </w:tcPr>
          <w:p w14:paraId="5B9DDCA7" w14:textId="4001E29A" w:rsidR="000724C3" w:rsidRPr="000B6460" w:rsidRDefault="008C15F4" w:rsidP="000724C3">
            <w:pPr>
              <w:pStyle w:val="Default"/>
              <w:spacing w:line="0" w:lineRule="atLeast"/>
              <w:rPr>
                <w:rFonts w:ascii="Times New Roman" w:cs="Times New Roman"/>
                <w:sz w:val="24"/>
              </w:rPr>
            </w:pPr>
            <w:r w:rsidRPr="000B6460">
              <w:rPr>
                <w:rFonts w:ascii="Times New Roman" w:cs="Times New Roman"/>
                <w:sz w:val="24"/>
              </w:rPr>
              <w:t>M</w:t>
            </w:r>
            <w:r w:rsidR="000724C3" w:rsidRPr="000B6460">
              <w:rPr>
                <w:rFonts w:ascii="Times New Roman" w:cs="Times New Roman"/>
                <w:sz w:val="24"/>
              </w:rPr>
              <w:t>otivation</w:t>
            </w:r>
            <w:r w:rsidRPr="000B6460">
              <w:rPr>
                <w:rFonts w:ascii="Times New Roman" w:cs="Times New Roman"/>
                <w:sz w:val="24"/>
              </w:rPr>
              <w:t>al feedback</w:t>
            </w:r>
          </w:p>
        </w:tc>
        <w:tc>
          <w:tcPr>
            <w:tcW w:w="992" w:type="dxa"/>
          </w:tcPr>
          <w:p w14:paraId="5226E768"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4.99</w:t>
            </w:r>
          </w:p>
        </w:tc>
        <w:tc>
          <w:tcPr>
            <w:tcW w:w="993" w:type="dxa"/>
          </w:tcPr>
          <w:p w14:paraId="39885A79"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5.09</w:t>
            </w:r>
          </w:p>
        </w:tc>
        <w:tc>
          <w:tcPr>
            <w:tcW w:w="992" w:type="dxa"/>
          </w:tcPr>
          <w:p w14:paraId="3F0397B1"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0.489</w:t>
            </w:r>
          </w:p>
        </w:tc>
        <w:tc>
          <w:tcPr>
            <w:tcW w:w="992" w:type="dxa"/>
          </w:tcPr>
          <w:p w14:paraId="07DF42F0"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5.06</w:t>
            </w:r>
          </w:p>
        </w:tc>
        <w:tc>
          <w:tcPr>
            <w:tcW w:w="992" w:type="dxa"/>
          </w:tcPr>
          <w:p w14:paraId="1B17984D"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5.30</w:t>
            </w:r>
          </w:p>
        </w:tc>
        <w:tc>
          <w:tcPr>
            <w:tcW w:w="1134" w:type="dxa"/>
          </w:tcPr>
          <w:p w14:paraId="733A94C4" w14:textId="77777777" w:rsidR="000724C3" w:rsidRPr="000B6460" w:rsidRDefault="000724C3" w:rsidP="000724C3">
            <w:pPr>
              <w:pStyle w:val="Default"/>
              <w:spacing w:line="0" w:lineRule="atLeast"/>
              <w:rPr>
                <w:rFonts w:ascii="Times New Roman" w:cs="Times New Roman"/>
                <w:sz w:val="24"/>
              </w:rPr>
            </w:pPr>
            <w:r w:rsidRPr="000B6460">
              <w:rPr>
                <w:rFonts w:ascii="Times New Roman" w:cs="Times New Roman"/>
                <w:sz w:val="24"/>
              </w:rPr>
              <w:t>0.072</w:t>
            </w:r>
          </w:p>
        </w:tc>
      </w:tr>
    </w:tbl>
    <w:p w14:paraId="66369176" w14:textId="77777777" w:rsidR="000724C3" w:rsidRPr="007C5A96" w:rsidRDefault="000724C3" w:rsidP="00323481">
      <w:pPr>
        <w:pStyle w:val="Default"/>
        <w:rPr>
          <w:rFonts w:ascii="Times New Roman" w:hAnsi="Times New Roman" w:cs="Times New Roman"/>
        </w:rPr>
      </w:pPr>
    </w:p>
    <w:p w14:paraId="5677539A" w14:textId="0EDD1BA3" w:rsidR="00231F58" w:rsidRPr="00512D93" w:rsidRDefault="00231F58" w:rsidP="00BF7D09">
      <w:pPr>
        <w:spacing w:line="0" w:lineRule="atLeast"/>
        <w:rPr>
          <w:b/>
          <w:bCs/>
        </w:rPr>
      </w:pPr>
      <w:r w:rsidRPr="00512D93">
        <w:rPr>
          <w:b/>
          <w:bCs/>
        </w:rPr>
        <w:t>Discussion</w:t>
      </w:r>
    </w:p>
    <w:p w14:paraId="158BF7F2" w14:textId="68BF7324" w:rsidR="00BA360C" w:rsidRPr="007C5A96" w:rsidRDefault="00213211" w:rsidP="009504AC">
      <w:pPr>
        <w:spacing w:line="0" w:lineRule="atLeast"/>
        <w:ind w:firstLine="480"/>
        <w:jc w:val="both"/>
      </w:pPr>
      <w:r w:rsidRPr="007C5A96">
        <w:t xml:space="preserve">The five principles for </w:t>
      </w:r>
      <w:r w:rsidRPr="00887B1D">
        <w:t xml:space="preserve">metacognitive teaching </w:t>
      </w:r>
      <w:r w:rsidR="003750B3" w:rsidRPr="00887B1D">
        <w:t>- modelling thinking process, thought-provoking reflections, reviewing thinking process, enabling self-regulation</w:t>
      </w:r>
      <w:r w:rsidR="003750B3" w:rsidRPr="007C5A96">
        <w:t xml:space="preserve"> and motivational feedback </w:t>
      </w:r>
      <w:r w:rsidRPr="007C5A96">
        <w:t>are empirically constructed</w:t>
      </w:r>
      <w:r w:rsidR="0076521A" w:rsidRPr="007C5A96">
        <w:t xml:space="preserve"> by the CFA</w:t>
      </w:r>
      <w:r w:rsidR="00A226D4" w:rsidRPr="007C5A96">
        <w:t xml:space="preserve"> with construct validity</w:t>
      </w:r>
      <w:r w:rsidRPr="007C5A96">
        <w:t xml:space="preserve">. </w:t>
      </w:r>
      <w:r w:rsidR="00CA68D4" w:rsidRPr="007C5A96">
        <w:t xml:space="preserve">This reflects </w:t>
      </w:r>
      <w:r w:rsidR="00D070B0" w:rsidRPr="007C5A96">
        <w:t xml:space="preserve">that </w:t>
      </w:r>
      <w:r w:rsidR="00CA68D4" w:rsidRPr="007C5A96">
        <w:t>t</w:t>
      </w:r>
      <w:r w:rsidR="00923E37" w:rsidRPr="007C5A96">
        <w:t xml:space="preserve">he guiding principles for metacognitive teaching proposed by Schraw (1998), </w:t>
      </w:r>
      <w:proofErr w:type="spellStart"/>
      <w:r w:rsidR="00923E37" w:rsidRPr="007C5A96">
        <w:t>Pintrich</w:t>
      </w:r>
      <w:proofErr w:type="spellEnd"/>
      <w:r w:rsidR="00923E37" w:rsidRPr="007C5A96">
        <w:t xml:space="preserve"> (2002) and </w:t>
      </w:r>
      <w:proofErr w:type="spellStart"/>
      <w:r w:rsidR="00923E37" w:rsidRPr="007C5A96">
        <w:t>Veenman</w:t>
      </w:r>
      <w:proofErr w:type="spellEnd"/>
      <w:r w:rsidR="00923E37" w:rsidRPr="007C5A96">
        <w:t xml:space="preserve"> (2006) are conceptually applicable </w:t>
      </w:r>
      <w:r w:rsidR="00A226D4" w:rsidRPr="007C5A96">
        <w:t>w</w:t>
      </w:r>
      <w:r w:rsidR="00F940A7" w:rsidRPr="007C5A96">
        <w:t>hich can be operationalize to questionnaire items w</w:t>
      </w:r>
      <w:r w:rsidR="00A226D4" w:rsidRPr="007C5A96">
        <w:t xml:space="preserve">ith content validity </w:t>
      </w:r>
      <w:r w:rsidR="00923E37" w:rsidRPr="007C5A96">
        <w:t xml:space="preserve">for measuring the </w:t>
      </w:r>
      <w:proofErr w:type="spellStart"/>
      <w:r w:rsidR="00923E37" w:rsidRPr="007C5A96">
        <w:t>behaviors</w:t>
      </w:r>
      <w:proofErr w:type="spellEnd"/>
      <w:r w:rsidR="00923E37" w:rsidRPr="007C5A96">
        <w:t xml:space="preserve"> of metacognitive teaching</w:t>
      </w:r>
      <w:r w:rsidR="00A226D4" w:rsidRPr="007C5A96">
        <w:t xml:space="preserve">. </w:t>
      </w:r>
      <w:r w:rsidR="00CA68D4" w:rsidRPr="007C5A96">
        <w:t xml:space="preserve">Since these five guiding principles are derived from </w:t>
      </w:r>
      <w:r w:rsidR="00AB6288" w:rsidRPr="007C5A96">
        <w:t xml:space="preserve">the elements of </w:t>
      </w:r>
      <w:bookmarkStart w:id="7" w:name="_Hlk46921849"/>
      <w:r w:rsidR="00AB6288" w:rsidRPr="007C5A96">
        <w:t>Flavell’s (1979) and Brown’s (198</w:t>
      </w:r>
      <w:r w:rsidR="00497966" w:rsidRPr="006A4870">
        <w:rPr>
          <w:highlight w:val="yellow"/>
        </w:rPr>
        <w:t>7</w:t>
      </w:r>
      <w:r w:rsidR="00AB6288" w:rsidRPr="007C5A96">
        <w:t xml:space="preserve">) models </w:t>
      </w:r>
      <w:bookmarkEnd w:id="7"/>
      <w:r w:rsidR="00AB6288" w:rsidRPr="007C5A96">
        <w:t xml:space="preserve">- </w:t>
      </w:r>
      <w:r w:rsidR="00CA68D4" w:rsidRPr="007C5A96">
        <w:t>knowledge of cognition, regulation of cognition and motivation for learning,</w:t>
      </w:r>
      <w:r w:rsidR="00A226D4" w:rsidRPr="007C5A96">
        <w:t xml:space="preserve"> </w:t>
      </w:r>
      <w:r w:rsidR="00AB6288" w:rsidRPr="007C5A96">
        <w:t xml:space="preserve">in turn, </w:t>
      </w:r>
      <w:r w:rsidR="00512D93">
        <w:t>this results</w:t>
      </w:r>
      <w:r w:rsidR="00A226D4" w:rsidRPr="007C5A96">
        <w:t xml:space="preserve"> verify the power of </w:t>
      </w:r>
      <w:r w:rsidR="00AB6288" w:rsidRPr="007C5A96">
        <w:t>Fl</w:t>
      </w:r>
      <w:r w:rsidR="00973CE7">
        <w:t>avell’s (1979) and Brown’s (198</w:t>
      </w:r>
      <w:r w:rsidR="00973CE7" w:rsidRPr="00973CE7">
        <w:rPr>
          <w:highlight w:val="yellow"/>
        </w:rPr>
        <w:t>7</w:t>
      </w:r>
      <w:r w:rsidR="00AB6288" w:rsidRPr="007C5A96">
        <w:t xml:space="preserve">) models </w:t>
      </w:r>
      <w:r w:rsidR="00A226D4" w:rsidRPr="007C5A96">
        <w:t xml:space="preserve">to explain </w:t>
      </w:r>
      <w:r w:rsidR="00D5413D" w:rsidRPr="007C5A96">
        <w:t xml:space="preserve">metacognitive </w:t>
      </w:r>
      <w:r w:rsidR="00512D93" w:rsidRPr="007C5A96">
        <w:t>behaviours</w:t>
      </w:r>
      <w:r w:rsidR="00AB6288" w:rsidRPr="007C5A96">
        <w:t>.</w:t>
      </w:r>
      <w:r w:rsidR="00CA68D4" w:rsidRPr="007C5A96">
        <w:t xml:space="preserve"> </w:t>
      </w:r>
    </w:p>
    <w:p w14:paraId="6AD2C63B" w14:textId="77777777" w:rsidR="00923E37" w:rsidRPr="007C5A96" w:rsidRDefault="00923E37" w:rsidP="009504AC">
      <w:pPr>
        <w:spacing w:line="0" w:lineRule="atLeast"/>
        <w:ind w:firstLine="480"/>
        <w:jc w:val="both"/>
      </w:pPr>
    </w:p>
    <w:p w14:paraId="09549717" w14:textId="3A4EC062" w:rsidR="007C4CD2" w:rsidRPr="007C5A96" w:rsidRDefault="00750738" w:rsidP="007C4CD2">
      <w:pPr>
        <w:spacing w:line="0" w:lineRule="atLeast"/>
        <w:ind w:firstLine="480"/>
        <w:jc w:val="both"/>
      </w:pPr>
      <w:r w:rsidRPr="007C5A96">
        <w:t>In answering the research question</w:t>
      </w:r>
      <w:r w:rsidR="00923E37" w:rsidRPr="007C5A96">
        <w:t xml:space="preserve"> -</w:t>
      </w:r>
      <w:r w:rsidRPr="007C5A96">
        <w:t xml:space="preserve"> the </w:t>
      </w:r>
      <w:r w:rsidR="00B92945" w:rsidRPr="007C5A96">
        <w:t>extent</w:t>
      </w:r>
      <w:r w:rsidRPr="007C5A96">
        <w:t xml:space="preserve"> to which Lesson Study nurtures pre-service teacher metacognitive teaching </w:t>
      </w:r>
      <w:r w:rsidR="004617D0" w:rsidRPr="007C5A96">
        <w:t>skills,</w:t>
      </w:r>
      <w:r w:rsidRPr="007C5A96">
        <w:t xml:space="preserve"> </w:t>
      </w:r>
      <w:r w:rsidR="00AB6288" w:rsidRPr="007C5A96">
        <w:t xml:space="preserve">the </w:t>
      </w:r>
      <w:r w:rsidR="00923E37" w:rsidRPr="007C5A96">
        <w:t xml:space="preserve">incremental scores between pre-post survey in the experimental group are </w:t>
      </w:r>
      <w:r w:rsidR="00AB6288" w:rsidRPr="007C5A96">
        <w:t xml:space="preserve">identified </w:t>
      </w:r>
      <w:r w:rsidR="00923E37" w:rsidRPr="007C5A96">
        <w:t xml:space="preserve">for all the five teaching principles. Moreover, </w:t>
      </w:r>
      <w:r w:rsidRPr="007C5A96">
        <w:t>a</w:t>
      </w:r>
      <w:r w:rsidR="00D51B1A" w:rsidRPr="007C5A96">
        <w:t xml:space="preserve"> </w:t>
      </w:r>
      <w:r w:rsidR="00506538" w:rsidRPr="007C5A96">
        <w:t>s</w:t>
      </w:r>
      <w:r w:rsidR="00D51B1A" w:rsidRPr="007C5A96">
        <w:t xml:space="preserve">ignificant different </w:t>
      </w:r>
      <w:r w:rsidR="00923E37" w:rsidRPr="007C5A96">
        <w:t xml:space="preserve">are identified </w:t>
      </w:r>
      <w:r w:rsidR="0076521A" w:rsidRPr="007C5A96">
        <w:t>in modelling</w:t>
      </w:r>
      <w:r w:rsidR="00DF6DAD" w:rsidRPr="007C5A96">
        <w:t xml:space="preserve"> thinking process, thought-provoking reflections</w:t>
      </w:r>
      <w:r w:rsidR="003750B3" w:rsidRPr="007C5A96">
        <w:t>,</w:t>
      </w:r>
      <w:r w:rsidR="00DF6DAD" w:rsidRPr="007C5A96">
        <w:t xml:space="preserve"> reviewing thinking process</w:t>
      </w:r>
      <w:r w:rsidR="00CA68D4" w:rsidRPr="007C5A96">
        <w:t>.</w:t>
      </w:r>
      <w:r w:rsidR="00923E37" w:rsidRPr="007C5A96">
        <w:t xml:space="preserve"> These reflect that t</w:t>
      </w:r>
      <w:r w:rsidR="007C4CD2" w:rsidRPr="007C5A96">
        <w:t xml:space="preserve">he </w:t>
      </w:r>
      <w:r w:rsidR="008E7DF0" w:rsidRPr="007C5A96">
        <w:t xml:space="preserve">collaborative lesson planning, peer lesson observation and post lesson discussion </w:t>
      </w:r>
      <w:r w:rsidR="007C4CD2" w:rsidRPr="007C5A96">
        <w:t xml:space="preserve">of </w:t>
      </w:r>
      <w:r w:rsidR="008E7DF0" w:rsidRPr="007C5A96">
        <w:t>L</w:t>
      </w:r>
      <w:r w:rsidR="007C4CD2" w:rsidRPr="007C5A96">
        <w:t xml:space="preserve">esson </w:t>
      </w:r>
      <w:r w:rsidR="008E7DF0" w:rsidRPr="007C5A96">
        <w:t>S</w:t>
      </w:r>
      <w:r w:rsidR="007C4CD2" w:rsidRPr="007C5A96">
        <w:t xml:space="preserve">tudy help preservice teachers </w:t>
      </w:r>
      <w:r w:rsidR="008E7DF0" w:rsidRPr="007C5A96">
        <w:t xml:space="preserve">to </w:t>
      </w:r>
      <w:r w:rsidR="00923E37" w:rsidRPr="007C5A96">
        <w:t>visualize their thinking process</w:t>
      </w:r>
      <w:r w:rsidR="007C4CD2" w:rsidRPr="007C5A96">
        <w:t xml:space="preserve"> explicitly</w:t>
      </w:r>
      <w:r w:rsidR="00923E37" w:rsidRPr="007C5A96">
        <w:t xml:space="preserve"> for problem solving</w:t>
      </w:r>
      <w:r w:rsidR="007C4CD2" w:rsidRPr="007C5A96">
        <w:t xml:space="preserve">, </w:t>
      </w:r>
      <w:r w:rsidR="00923E37" w:rsidRPr="007C5A96">
        <w:t xml:space="preserve">provide problem solving activities to provoke </w:t>
      </w:r>
      <w:r w:rsidR="00CA68D4" w:rsidRPr="007C5A96">
        <w:t>pupils</w:t>
      </w:r>
      <w:r w:rsidR="00923E37" w:rsidRPr="007C5A96">
        <w:t xml:space="preserve"> reflection and </w:t>
      </w:r>
      <w:r w:rsidR="007C4CD2" w:rsidRPr="007C5A96">
        <w:t xml:space="preserve">guide </w:t>
      </w:r>
      <w:r w:rsidR="00CA68D4" w:rsidRPr="007C5A96">
        <w:t xml:space="preserve">pupils </w:t>
      </w:r>
      <w:r w:rsidR="00923E37" w:rsidRPr="007C5A96">
        <w:t xml:space="preserve">to review their thinking process </w:t>
      </w:r>
      <w:r w:rsidR="00C01B24" w:rsidRPr="007C5A96">
        <w:t xml:space="preserve">to improve </w:t>
      </w:r>
      <w:r w:rsidR="00506538" w:rsidRPr="007C5A96">
        <w:t>pupils’</w:t>
      </w:r>
      <w:r w:rsidR="00C01B24" w:rsidRPr="007C5A96">
        <w:t xml:space="preserve"> </w:t>
      </w:r>
      <w:r w:rsidR="00923E37" w:rsidRPr="007C5A96">
        <w:t>problem</w:t>
      </w:r>
      <w:r w:rsidR="00C01B24" w:rsidRPr="007C5A96">
        <w:t xml:space="preserve"> solving abilities. </w:t>
      </w:r>
    </w:p>
    <w:p w14:paraId="656A2F0D" w14:textId="6A6F6EE8" w:rsidR="00A308F8" w:rsidRDefault="00A308F8" w:rsidP="00A308F8">
      <w:pPr>
        <w:spacing w:line="0" w:lineRule="atLeast"/>
        <w:ind w:firstLine="480"/>
        <w:jc w:val="both"/>
      </w:pPr>
    </w:p>
    <w:p w14:paraId="76C9E0CF" w14:textId="77777777" w:rsidR="002A72A8" w:rsidRPr="007C5A96" w:rsidRDefault="002A72A8" w:rsidP="002A72A8">
      <w:pPr>
        <w:spacing w:line="0" w:lineRule="atLeast"/>
        <w:ind w:firstLine="480"/>
        <w:jc w:val="both"/>
      </w:pPr>
      <w:r w:rsidRPr="007C5A96">
        <w:t xml:space="preserve">The significant incremental scores provide evidences to support the fact that Lesson Study enable the pre-service teachers to grasp the core metacognitive teaching principles, they can craft metacognitive knowledge for designing activities and implement in their research lesson. This finding is </w:t>
      </w:r>
      <w:proofErr w:type="gramStart"/>
      <w:r w:rsidRPr="007C5A96">
        <w:t>similar to</w:t>
      </w:r>
      <w:proofErr w:type="gramEnd"/>
      <w:r w:rsidRPr="007C5A96">
        <w:t xml:space="preserve"> Liyanage</w:t>
      </w:r>
      <w:r>
        <w:t xml:space="preserve"> and Bartlett’s </w:t>
      </w:r>
      <w:r w:rsidRPr="007C5A96">
        <w:t>(2010) assertions that metacognitive strategies framework in lesson planning has positive effect on developing pre-service teachers’ skills in lesson planning. This findi</w:t>
      </w:r>
      <w:r>
        <w:t>ng also echo to Dudley’s (2014,</w:t>
      </w:r>
      <w:r w:rsidRPr="007C5A96">
        <w:t xml:space="preserve"> 2015) assertions that that Lesson Study enables the teachers to aware the effectiveness of their teaching strategies through collaborative lesson planning, observing and reflecting on lessons with specific attention being paid to a selected group of pupils and their learning. </w:t>
      </w:r>
    </w:p>
    <w:p w14:paraId="4FFEA341" w14:textId="77777777" w:rsidR="002A72A8" w:rsidRDefault="002A72A8" w:rsidP="00A308F8">
      <w:pPr>
        <w:spacing w:line="0" w:lineRule="atLeast"/>
        <w:ind w:firstLine="480"/>
        <w:jc w:val="both"/>
      </w:pPr>
    </w:p>
    <w:p w14:paraId="35387BAA" w14:textId="77777777" w:rsidR="002A72A8" w:rsidRPr="007C5A96" w:rsidRDefault="002A72A8" w:rsidP="002A72A8">
      <w:pPr>
        <w:spacing w:line="0" w:lineRule="atLeast"/>
        <w:ind w:firstLine="480"/>
        <w:jc w:val="both"/>
      </w:pPr>
      <w:r w:rsidRPr="007C5A96">
        <w:t>In term of the collaborative instruction</w:t>
      </w:r>
      <w:r>
        <w:t>al</w:t>
      </w:r>
      <w:r w:rsidRPr="007C5A96">
        <w:t xml:space="preserve"> design in Lesson Study, the preservice teachers design problem solving activities to provoke pupils’ thinking, arrange group discussion for problem solving, </w:t>
      </w:r>
      <w:r w:rsidRPr="007C5A96">
        <w:lastRenderedPageBreak/>
        <w:t>and encourage pupils to share their thinking process and encourage students to ask questions. Through their lesson implementation in the research lesson, they have developed think aloud skills to model and visualize their thinking process for problem solving, they can guide their pupils know how to complete the assigned learning tasks and ask questions to check the accuracy of pupil answers. Participation in peer lesson observation and post-lesson conference enable them to dialogue with the others. Lesson Study could be a powerful strategy that enable pre-service teachers to work and learn collaboratively and become more metacognitive and self-regulating in instructional design (</w:t>
      </w:r>
      <w:proofErr w:type="spellStart"/>
      <w:r w:rsidRPr="007C5A96">
        <w:t>Cheng</w:t>
      </w:r>
      <w:r>
        <w:t>,</w:t>
      </w:r>
      <w:proofErr w:type="spellEnd"/>
      <w:r w:rsidRPr="007C5A96">
        <w:t xml:space="preserve"> 2011a). This argument is also claimed by Lo</w:t>
      </w:r>
      <w:r>
        <w:t xml:space="preserve">fthouse and Cowie (2018), they </w:t>
      </w:r>
      <w:r w:rsidRPr="007C5A96">
        <w:t xml:space="preserve">assert that through lesson study, teachers can experience learning situations, activities and content that can best be resolved, understood and applied through opportunities to engage in dialogue with others. So that they become a metacognitive and self-regulated teacher. </w:t>
      </w:r>
    </w:p>
    <w:p w14:paraId="4FDEE65E" w14:textId="77777777" w:rsidR="002A72A8" w:rsidRPr="007C5A96" w:rsidRDefault="002A72A8" w:rsidP="00A308F8">
      <w:pPr>
        <w:spacing w:line="0" w:lineRule="atLeast"/>
        <w:ind w:firstLine="480"/>
        <w:jc w:val="both"/>
      </w:pPr>
    </w:p>
    <w:p w14:paraId="276C9684" w14:textId="7253BB7C" w:rsidR="00AE0A3B" w:rsidRPr="007C5A96" w:rsidRDefault="00AE0A3B" w:rsidP="00A308F8">
      <w:pPr>
        <w:spacing w:line="0" w:lineRule="atLeast"/>
        <w:ind w:firstLine="480"/>
        <w:jc w:val="both"/>
      </w:pPr>
      <w:r w:rsidRPr="007C5A96">
        <w:t xml:space="preserve">Another result of this study shows that there are no significant differences between the pre-post survey of enable self-regulation and motivational feedback. </w:t>
      </w:r>
      <w:r w:rsidR="00EB279E">
        <w:t>This finding is interesting. T</w:t>
      </w:r>
      <w:r w:rsidR="00EB279E" w:rsidRPr="007C5A96">
        <w:t xml:space="preserve">o </w:t>
      </w:r>
      <w:r w:rsidR="00EB279E">
        <w:t xml:space="preserve">motivate and nurture learners to become </w:t>
      </w:r>
      <w:r w:rsidR="00EB279E" w:rsidRPr="007C5A96">
        <w:t>self-regulated learners</w:t>
      </w:r>
      <w:r w:rsidR="00EB279E">
        <w:t xml:space="preserve"> will normally </w:t>
      </w:r>
      <w:r w:rsidR="00350505">
        <w:t>take</w:t>
      </w:r>
      <w:r w:rsidR="00EB279E">
        <w:t xml:space="preserve"> </w:t>
      </w:r>
      <w:r w:rsidR="00350505">
        <w:t xml:space="preserve">much longer </w:t>
      </w:r>
      <w:r w:rsidR="00EB279E">
        <w:t xml:space="preserve">time than a </w:t>
      </w:r>
      <w:r w:rsidR="00350505">
        <w:t xml:space="preserve">research </w:t>
      </w:r>
      <w:r w:rsidR="00EB279E">
        <w:t>lesson.</w:t>
      </w:r>
      <w:r w:rsidR="00EB279E" w:rsidRPr="007C5A96">
        <w:t xml:space="preserve"> </w:t>
      </w:r>
      <w:r w:rsidR="00350505">
        <w:t>This is because s</w:t>
      </w:r>
      <w:r w:rsidR="00EB279E">
        <w:t xml:space="preserve">uch </w:t>
      </w:r>
      <w:r w:rsidR="00350505">
        <w:t xml:space="preserve">self-regulation teaching </w:t>
      </w:r>
      <w:r w:rsidRPr="007C5A96">
        <w:t xml:space="preserve">strategies </w:t>
      </w:r>
      <w:r w:rsidR="00EB279E">
        <w:t xml:space="preserve">include </w:t>
      </w:r>
      <w:r w:rsidRPr="007C5A96">
        <w:t>set</w:t>
      </w:r>
      <w:r w:rsidR="00EB279E">
        <w:t>ting</w:t>
      </w:r>
      <w:r w:rsidRPr="007C5A96">
        <w:t xml:space="preserve"> learning goals, no matter short term and </w:t>
      </w:r>
      <w:r w:rsidR="00EB279E" w:rsidRPr="007C5A96">
        <w:t>long-term</w:t>
      </w:r>
      <w:r w:rsidRPr="007C5A96">
        <w:t xml:space="preserve"> goals, helping </w:t>
      </w:r>
      <w:r w:rsidR="00350505">
        <w:t>learners</w:t>
      </w:r>
      <w:r w:rsidRPr="007C5A96">
        <w:t xml:space="preserve"> to review which learning strategies enable them to achieve the learning goals, and help them become an self-motivational learners. </w:t>
      </w:r>
      <w:r w:rsidR="00350505">
        <w:t>The preservice teachers of this study only implement two research lessons for a same lesson plan. Therefore, i</w:t>
      </w:r>
      <w:r w:rsidRPr="007C5A96">
        <w:t xml:space="preserve">t is not surprising that the incremental scores of these two guiding principles cannot be </w:t>
      </w:r>
      <w:r w:rsidR="00350505">
        <w:t>induced</w:t>
      </w:r>
      <w:r w:rsidRPr="007C5A96">
        <w:t xml:space="preserve"> significantly</w:t>
      </w:r>
      <w:r w:rsidR="00350505">
        <w:t xml:space="preserve">. </w:t>
      </w:r>
      <w:r w:rsidRPr="007C5A96">
        <w:t xml:space="preserve"> However, the</w:t>
      </w:r>
      <w:r w:rsidR="000B24FE" w:rsidRPr="007C5A96">
        <w:t xml:space="preserve"> positive incremental </w:t>
      </w:r>
      <w:r w:rsidRPr="007C5A96">
        <w:t xml:space="preserve">scores </w:t>
      </w:r>
      <w:r w:rsidR="000B24FE" w:rsidRPr="007C5A96">
        <w:t xml:space="preserve">of all the teaching principles </w:t>
      </w:r>
      <w:r w:rsidRPr="007C5A96">
        <w:t xml:space="preserve">still </w:t>
      </w:r>
      <w:r w:rsidR="000B24FE" w:rsidRPr="007C5A96">
        <w:t xml:space="preserve">have </w:t>
      </w:r>
      <w:r w:rsidRPr="007C5A96">
        <w:t xml:space="preserve">implications </w:t>
      </w:r>
      <w:r w:rsidR="000E5239" w:rsidRPr="007C5A96">
        <w:t xml:space="preserve">to </w:t>
      </w:r>
      <w:r w:rsidR="00350505">
        <w:t xml:space="preserve">teacher educators and </w:t>
      </w:r>
      <w:r w:rsidR="000E5239" w:rsidRPr="007C5A96">
        <w:t>serving teachers of Lesson Study communities for</w:t>
      </w:r>
      <w:r w:rsidRPr="007C5A96">
        <w:t xml:space="preserve"> developing students’ abilities of regulation of cognition</w:t>
      </w:r>
      <w:r w:rsidR="00350505">
        <w:t xml:space="preserve"> with metacognitive teaching strategies</w:t>
      </w:r>
      <w:r w:rsidR="000E5239" w:rsidRPr="007C5A96">
        <w:t xml:space="preserve">, </w:t>
      </w:r>
      <w:r w:rsidRPr="007C5A96">
        <w:t>if they really want to implement the 21</w:t>
      </w:r>
      <w:r w:rsidRPr="007C5A96">
        <w:rPr>
          <w:vertAlign w:val="superscript"/>
        </w:rPr>
        <w:t>st</w:t>
      </w:r>
      <w:r w:rsidRPr="007C5A96">
        <w:t xml:space="preserve"> century curriculum effectively.</w:t>
      </w:r>
      <w:r w:rsidR="00350505">
        <w:t xml:space="preserve"> </w:t>
      </w:r>
    </w:p>
    <w:p w14:paraId="05A18EA6" w14:textId="77777777" w:rsidR="00506538" w:rsidRPr="007C5A96" w:rsidRDefault="00506538" w:rsidP="00A308F8">
      <w:pPr>
        <w:spacing w:line="0" w:lineRule="atLeast"/>
        <w:ind w:firstLine="480"/>
        <w:jc w:val="both"/>
      </w:pPr>
    </w:p>
    <w:p w14:paraId="3D65376A" w14:textId="77777777" w:rsidR="002A72A8" w:rsidRDefault="00350505" w:rsidP="008E0755">
      <w:pPr>
        <w:spacing w:line="0" w:lineRule="atLeast"/>
        <w:ind w:firstLine="480"/>
        <w:jc w:val="both"/>
      </w:pPr>
      <w:bookmarkStart w:id="8" w:name="_Hlk47205081"/>
      <w:r w:rsidRPr="007C5A96">
        <w:t xml:space="preserve">The argument for using Lesson Study in teacher education to enhance metacognitive teaching skills is </w:t>
      </w:r>
      <w:r>
        <w:t xml:space="preserve">supported by the </w:t>
      </w:r>
      <w:r w:rsidR="002A72A8">
        <w:t>finding of this study</w:t>
      </w:r>
      <w:r>
        <w:t xml:space="preserve">. </w:t>
      </w:r>
      <w:r w:rsidRPr="007C5A96">
        <w:t xml:space="preserve">Lesson Study provides opportunities to teachers to review </w:t>
      </w:r>
      <w:r w:rsidR="002A72A8">
        <w:t xml:space="preserve">and regulate </w:t>
      </w:r>
      <w:r w:rsidRPr="007C5A96">
        <w:t xml:space="preserve">their cognition process. </w:t>
      </w:r>
      <w:r w:rsidR="009D6D6F" w:rsidRPr="007C5A96">
        <w:t>As m</w:t>
      </w:r>
      <w:r w:rsidR="008E0755" w:rsidRPr="007C5A96">
        <w:t>etacognitive teaching is a process to visualize teacher’s thinking process to students through modelling</w:t>
      </w:r>
      <w:r w:rsidR="002A72A8">
        <w:t xml:space="preserve"> and</w:t>
      </w:r>
      <w:r w:rsidR="008E0755" w:rsidRPr="007C5A96">
        <w:t xml:space="preserve"> think aloud</w:t>
      </w:r>
      <w:r w:rsidR="009D6D6F" w:rsidRPr="007C5A96">
        <w:t xml:space="preserve"> </w:t>
      </w:r>
      <w:r w:rsidR="002A72A8">
        <w:t>to</w:t>
      </w:r>
      <w:r w:rsidR="008E0755" w:rsidRPr="007C5A96">
        <w:t xml:space="preserve"> </w:t>
      </w:r>
      <w:r w:rsidR="009D6D6F" w:rsidRPr="007C5A96">
        <w:t>m</w:t>
      </w:r>
      <w:r w:rsidR="008E0755" w:rsidRPr="007C5A96">
        <w:t>ak</w:t>
      </w:r>
      <w:r w:rsidR="002A72A8">
        <w:t>e</w:t>
      </w:r>
      <w:r w:rsidR="008E0755" w:rsidRPr="007C5A96">
        <w:t xml:space="preserve"> thinking visible</w:t>
      </w:r>
      <w:r w:rsidR="002A72A8">
        <w:t xml:space="preserve">, it </w:t>
      </w:r>
      <w:r w:rsidR="008E0755" w:rsidRPr="007C5A96">
        <w:t xml:space="preserve"> requires teachers to aware how they think and reflect on how they regulate their thinking process</w:t>
      </w:r>
      <w:r w:rsidR="009D6D6F" w:rsidRPr="007C5A96">
        <w:t xml:space="preserve"> for improving instructional design</w:t>
      </w:r>
      <w:r w:rsidR="008E0755" w:rsidRPr="007C5A96">
        <w:t xml:space="preserve">. </w:t>
      </w:r>
      <w:r w:rsidR="009D6D6F" w:rsidRPr="007C5A96">
        <w:t>Therefore e</w:t>
      </w:r>
      <w:r w:rsidR="008E0755" w:rsidRPr="007C5A96">
        <w:t>ffective metacognitive teaching depends on the levels of teacher</w:t>
      </w:r>
      <w:r w:rsidR="002A72A8">
        <w:t>’s</w:t>
      </w:r>
      <w:r w:rsidR="008E0755" w:rsidRPr="007C5A96">
        <w:t xml:space="preserve"> metacognition – t</w:t>
      </w:r>
      <w:r w:rsidR="009D6D6F" w:rsidRPr="007C5A96">
        <w:t>eachers</w:t>
      </w:r>
      <w:r w:rsidR="008E0755" w:rsidRPr="007C5A96">
        <w:t xml:space="preserve"> reflections on how they plan </w:t>
      </w:r>
      <w:r w:rsidR="002A72A8">
        <w:t>and</w:t>
      </w:r>
      <w:r w:rsidR="008E0755" w:rsidRPr="007C5A96">
        <w:t xml:space="preserve"> frame the approach to understand the meaning of the texts and learning materials, how they regulate their cognition to maximize their learning and how they use and formulate strategies for problem solving. </w:t>
      </w:r>
      <w:bookmarkEnd w:id="8"/>
    </w:p>
    <w:p w14:paraId="2CE50145" w14:textId="77777777" w:rsidR="002A72A8" w:rsidRDefault="002A72A8" w:rsidP="008E0755">
      <w:pPr>
        <w:spacing w:line="0" w:lineRule="atLeast"/>
        <w:ind w:firstLine="480"/>
        <w:jc w:val="both"/>
      </w:pPr>
    </w:p>
    <w:p w14:paraId="44DABF48" w14:textId="750B3D05" w:rsidR="000B24FE" w:rsidRPr="007C5A96" w:rsidRDefault="008E0755" w:rsidP="000B24FE">
      <w:pPr>
        <w:spacing w:line="0" w:lineRule="atLeast"/>
        <w:ind w:firstLine="480"/>
        <w:jc w:val="both"/>
      </w:pPr>
      <w:r w:rsidRPr="007C5A96">
        <w:t xml:space="preserve">Lesson Study </w:t>
      </w:r>
      <w:r w:rsidR="000B24FE" w:rsidRPr="007C5A96">
        <w:t xml:space="preserve">not only </w:t>
      </w:r>
      <w:r w:rsidRPr="007C5A96">
        <w:t xml:space="preserve">enables teachers to focus on students’ learning </w:t>
      </w:r>
      <w:r w:rsidR="00115E1F" w:rsidRPr="007C5A96">
        <w:t>difficulties</w:t>
      </w:r>
      <w:r w:rsidRPr="007C5A96">
        <w:t xml:space="preserve"> and how they think</w:t>
      </w:r>
      <w:r w:rsidR="000B24FE" w:rsidRPr="007C5A96">
        <w:t xml:space="preserve"> but also allow teachers to know how they themselves constructed these skills within their own repertoire of cognitive skills, and think about how they can teach students about using these skills deliberately. </w:t>
      </w:r>
      <w:r w:rsidRPr="007C5A96">
        <w:t xml:space="preserve">This </w:t>
      </w:r>
      <w:r w:rsidR="00115E1F" w:rsidRPr="007C5A96">
        <w:t>pedagogical</w:t>
      </w:r>
      <w:r w:rsidRPr="007C5A96">
        <w:t xml:space="preserve"> practice </w:t>
      </w:r>
      <w:r w:rsidR="00115E1F" w:rsidRPr="007C5A96">
        <w:t>paves a path for teachers to craft metacognitive teaching.</w:t>
      </w:r>
      <w:r w:rsidRPr="007C5A96">
        <w:t xml:space="preserve"> </w:t>
      </w:r>
      <w:r w:rsidR="003B1E67" w:rsidRPr="007C5A96">
        <w:t>The</w:t>
      </w:r>
      <w:r w:rsidR="00115E1F" w:rsidRPr="007C5A96">
        <w:t xml:space="preserve"> teachers in this study</w:t>
      </w:r>
      <w:r w:rsidR="003B1E67" w:rsidRPr="007C5A96">
        <w:t xml:space="preserve"> </w:t>
      </w:r>
      <w:r w:rsidR="00115E1F" w:rsidRPr="007C5A96">
        <w:t xml:space="preserve">arrange presentation for pupils to report their solution for problem solving </w:t>
      </w:r>
      <w:proofErr w:type="gramStart"/>
      <w:r w:rsidR="00115E1F" w:rsidRPr="007C5A96">
        <w:t>so as to</w:t>
      </w:r>
      <w:proofErr w:type="gramEnd"/>
      <w:r w:rsidR="00115E1F" w:rsidRPr="007C5A96">
        <w:t xml:space="preserve"> </w:t>
      </w:r>
      <w:r w:rsidR="003B1E67" w:rsidRPr="007C5A96">
        <w:t xml:space="preserve">evaluate if </w:t>
      </w:r>
      <w:r w:rsidR="00115E1F" w:rsidRPr="007C5A96">
        <w:t>the pupils</w:t>
      </w:r>
      <w:r w:rsidR="003B1E67" w:rsidRPr="007C5A96">
        <w:t xml:space="preserve"> can report their learning process</w:t>
      </w:r>
      <w:r w:rsidR="00115E1F" w:rsidRPr="007C5A96">
        <w:t xml:space="preserve">. </w:t>
      </w:r>
      <w:r w:rsidR="007C4CD2" w:rsidRPr="007C5A96">
        <w:t xml:space="preserve">They </w:t>
      </w:r>
      <w:r w:rsidR="00115E1F" w:rsidRPr="007C5A96">
        <w:t xml:space="preserve">arrange </w:t>
      </w:r>
      <w:r w:rsidR="007C4CD2" w:rsidRPr="007C5A96">
        <w:t>presentations to</w:t>
      </w:r>
      <w:r w:rsidR="00115E1F" w:rsidRPr="007C5A96">
        <w:t xml:space="preserve"> pupils</w:t>
      </w:r>
      <w:r w:rsidR="007C4CD2" w:rsidRPr="007C5A96">
        <w:t xml:space="preserve"> </w:t>
      </w:r>
      <w:r w:rsidR="00115E1F" w:rsidRPr="007C5A96">
        <w:t xml:space="preserve">to help them to </w:t>
      </w:r>
      <w:r w:rsidR="007C4CD2" w:rsidRPr="007C5A96">
        <w:t>review their thinking and learning processes</w:t>
      </w:r>
      <w:r w:rsidR="00115E1F" w:rsidRPr="007C5A96">
        <w:t xml:space="preserve">. </w:t>
      </w:r>
      <w:r w:rsidR="000B24FE" w:rsidRPr="007C5A96">
        <w:t xml:space="preserve">Lesson Study </w:t>
      </w:r>
      <w:r w:rsidR="002A72A8">
        <w:t>could be a practical approach to</w:t>
      </w:r>
      <w:r w:rsidR="00344F0F">
        <w:t xml:space="preserve"> support</w:t>
      </w:r>
      <w:r w:rsidR="000B24FE" w:rsidRPr="007C5A96">
        <w:t xml:space="preserve"> teachers to create metacognitive teaching pedagogy for implementing the Learning to Learn curriculum.</w:t>
      </w:r>
    </w:p>
    <w:p w14:paraId="0C0A6619" w14:textId="16E916A8" w:rsidR="00115E1F" w:rsidRPr="007C5A96" w:rsidRDefault="00115E1F" w:rsidP="00115E1F">
      <w:pPr>
        <w:spacing w:line="0" w:lineRule="atLeast"/>
        <w:ind w:firstLine="480"/>
        <w:jc w:val="both"/>
      </w:pPr>
    </w:p>
    <w:p w14:paraId="6DE0DBE0" w14:textId="6A036B66" w:rsidR="000B24FE" w:rsidRPr="007C5A96" w:rsidRDefault="00A83C0B" w:rsidP="000B24FE">
      <w:pPr>
        <w:spacing w:line="0" w:lineRule="atLeast"/>
      </w:pPr>
      <w:r w:rsidRPr="007C5A96">
        <w:t>Conclusions</w:t>
      </w:r>
      <w:r w:rsidR="000B24FE" w:rsidRPr="007C5A96">
        <w:t xml:space="preserve"> </w:t>
      </w:r>
    </w:p>
    <w:p w14:paraId="4253BF71" w14:textId="4B5A09A2" w:rsidR="0031659E" w:rsidRPr="007C5A96" w:rsidRDefault="009D6D6F" w:rsidP="0031659E">
      <w:pPr>
        <w:spacing w:line="0" w:lineRule="atLeast"/>
        <w:ind w:firstLine="480"/>
        <w:jc w:val="both"/>
      </w:pPr>
      <w:r w:rsidRPr="007C5A96">
        <w:t>This study</w:t>
      </w:r>
      <w:r w:rsidR="000B7D97" w:rsidRPr="007C5A96">
        <w:t xml:space="preserve"> </w:t>
      </w:r>
      <w:r w:rsidR="00B871A1" w:rsidRPr="007C5A96">
        <w:t xml:space="preserve">concludes </w:t>
      </w:r>
      <w:r w:rsidR="002E1DAA" w:rsidRPr="007C5A96">
        <w:t>that L</w:t>
      </w:r>
      <w:r w:rsidR="00E00B78" w:rsidRPr="007C5A96">
        <w:t xml:space="preserve">esson Study arouses pre-service teachers’ metacognitive awareness for instructional design and </w:t>
      </w:r>
      <w:r w:rsidR="002E1DAA" w:rsidRPr="007C5A96">
        <w:t xml:space="preserve">prompts </w:t>
      </w:r>
      <w:r w:rsidR="00E00B78" w:rsidRPr="007C5A96">
        <w:t xml:space="preserve">them </w:t>
      </w:r>
      <w:r w:rsidR="002E1DAA" w:rsidRPr="007C5A96">
        <w:t>to think deeply on the applicability of pedagogy</w:t>
      </w:r>
      <w:r w:rsidR="00E00B78" w:rsidRPr="007C5A96">
        <w:t xml:space="preserve"> to provoke student’s reflection. Lesson Study allows them to integrate evidences from theories learning in campus, practices experience in the lesson implementation at partnership school</w:t>
      </w:r>
      <w:r w:rsidR="00F6420F" w:rsidRPr="007C5A96">
        <w:t>s</w:t>
      </w:r>
      <w:r w:rsidR="00E00B78" w:rsidRPr="007C5A96">
        <w:t xml:space="preserve"> and classroom research for </w:t>
      </w:r>
      <w:r w:rsidR="00E00B78" w:rsidRPr="007C5A96">
        <w:lastRenderedPageBreak/>
        <w:t xml:space="preserve">authentic </w:t>
      </w:r>
      <w:r w:rsidR="00F6420F" w:rsidRPr="007C5A96">
        <w:t>reflective</w:t>
      </w:r>
      <w:r w:rsidR="00E00B78" w:rsidRPr="007C5A96">
        <w:t xml:space="preserve"> learning. </w:t>
      </w:r>
      <w:r w:rsidRPr="007C5A96">
        <w:t xml:space="preserve">The study also contributes an instrument with validity and reliability for measuring metacognitive teaching. </w:t>
      </w:r>
      <w:r w:rsidR="0031659E" w:rsidRPr="007C5A96">
        <w:t xml:space="preserve">The school partnership model enabled the researcher to conduct Lesson Study with the schoolteachers and the pre-service teachers, which craft metacognitive teaching strategies and practical pedagogical knowledge to realize the intended learning objectives of the teacher education programme. While the metacognitive teaching strategies and skills identified from this study contribute to the implementation of the Learning to Learn 2.0+ curriculum and the curriculum for teacher education programmes in Hong Kong. It should be noted that the findings identified in this study from the schools in Hong Kong may not be totally applicable to other contexts due to cultural differences. </w:t>
      </w:r>
    </w:p>
    <w:p w14:paraId="7E67788A" w14:textId="77777777" w:rsidR="0031659E" w:rsidRPr="007C5A96" w:rsidRDefault="0031659E" w:rsidP="00B871A1">
      <w:pPr>
        <w:spacing w:line="0" w:lineRule="atLeast"/>
        <w:ind w:firstLine="480"/>
        <w:jc w:val="both"/>
      </w:pPr>
    </w:p>
    <w:p w14:paraId="3ED4D61A" w14:textId="483EF151" w:rsidR="001A50CD" w:rsidRPr="007C5A96" w:rsidRDefault="0031659E" w:rsidP="001A50CD">
      <w:pPr>
        <w:spacing w:line="0" w:lineRule="atLeast"/>
        <w:ind w:firstLine="480"/>
        <w:jc w:val="both"/>
      </w:pPr>
      <w:r w:rsidRPr="007C5A96">
        <w:rPr>
          <w:color w:val="000000" w:themeColor="text1"/>
        </w:rPr>
        <w:t xml:space="preserve">There are implications for researchers, </w:t>
      </w:r>
      <w:proofErr w:type="gramStart"/>
      <w:r w:rsidRPr="007C5A96">
        <w:rPr>
          <w:color w:val="000000" w:themeColor="text1"/>
        </w:rPr>
        <w:t>educators</w:t>
      </w:r>
      <w:proofErr w:type="gramEnd"/>
      <w:r w:rsidRPr="007C5A96">
        <w:rPr>
          <w:color w:val="000000" w:themeColor="text1"/>
        </w:rPr>
        <w:t xml:space="preserve"> and teachers of the Lesson Study communities. </w:t>
      </w:r>
      <w:r w:rsidR="002A72A8">
        <w:rPr>
          <w:color w:val="000000" w:themeColor="text1"/>
        </w:rPr>
        <w:t>S</w:t>
      </w:r>
      <w:r w:rsidR="00BD0C52" w:rsidRPr="007C5A96">
        <w:t xml:space="preserve">tudents in </w:t>
      </w:r>
      <w:r w:rsidR="002A72A8">
        <w:t xml:space="preserve">the </w:t>
      </w:r>
      <w:r w:rsidR="00BD0C52" w:rsidRPr="007C5A96">
        <w:t xml:space="preserve">21st Century need to be lifelong learners. In a world that changes with increasing rapidity and unpredictable, there are few things more important to impart to them than the ability to learn to learn. Teachers need to equip themselves with the metacognitive pedagogical knowledge and skills with their peers. They may start by giving explicit instruction to students, embed metacognitive elements in learning content, and most importantly encourage students to keep using metacognitive skills and strategies. </w:t>
      </w:r>
      <w:r w:rsidR="00BD0C52" w:rsidRPr="007C5A96">
        <w:rPr>
          <w:color w:val="000000" w:themeColor="text1"/>
        </w:rPr>
        <w:t xml:space="preserve">The study involved school principals and teachers in the teacher-education programme to support the enactment of the school partnership model, such partnership model is an effective strategy for researching Lesson Study for crafting effective pedagogies for effective curriculum implementation. </w:t>
      </w:r>
      <w:r w:rsidRPr="007C5A96">
        <w:t xml:space="preserve">Further study should be conducted in schools to review how Lesson Study communities can be institutionalized in schools to enable teacher collaborations to craft metacognitive strategies to nurture students’ metacognitive learning </w:t>
      </w:r>
      <w:proofErr w:type="spellStart"/>
      <w:r w:rsidRPr="007C5A96">
        <w:t>behavior</w:t>
      </w:r>
      <w:proofErr w:type="spellEnd"/>
      <w:r w:rsidRPr="007C5A96">
        <w:t xml:space="preserve"> and pattern to help them become expert learners, well equipped to enter the world of 21</w:t>
      </w:r>
      <w:r w:rsidRPr="007C5A96">
        <w:rPr>
          <w:vertAlign w:val="superscript"/>
        </w:rPr>
        <w:t>st</w:t>
      </w:r>
      <w:r w:rsidRPr="007C5A96">
        <w:t xml:space="preserve"> century. </w:t>
      </w:r>
    </w:p>
    <w:p w14:paraId="38D3AC4E" w14:textId="5F5817AE" w:rsidR="00300BE8" w:rsidRPr="007C5A96" w:rsidRDefault="00300BE8" w:rsidP="00942374"/>
    <w:p w14:paraId="019E43DB" w14:textId="4EECE66D" w:rsidR="000745E7" w:rsidRPr="00344F0F" w:rsidRDefault="000745E7" w:rsidP="00942374">
      <w:pPr>
        <w:spacing w:line="260" w:lineRule="exact"/>
        <w:jc w:val="both"/>
        <w:rPr>
          <w:b/>
          <w:bCs/>
          <w:color w:val="000000" w:themeColor="text1"/>
        </w:rPr>
      </w:pPr>
      <w:r w:rsidRPr="00344F0F">
        <w:rPr>
          <w:b/>
          <w:bCs/>
          <w:color w:val="000000" w:themeColor="text1"/>
        </w:rPr>
        <w:t>References</w:t>
      </w:r>
    </w:p>
    <w:p w14:paraId="7D3C27FC" w14:textId="77777777" w:rsidR="00B1565D" w:rsidRPr="00942374" w:rsidRDefault="00B1565D" w:rsidP="00942374">
      <w:pPr>
        <w:spacing w:line="260" w:lineRule="exact"/>
        <w:ind w:left="482" w:hanging="482"/>
        <w:rPr>
          <w:rFonts w:eastAsia="Times New Roman"/>
          <w:color w:val="000000" w:themeColor="text1"/>
        </w:rPr>
      </w:pPr>
      <w:proofErr w:type="spellStart"/>
      <w:r w:rsidRPr="00942374">
        <w:rPr>
          <w:rFonts w:eastAsia="Times New Roman"/>
          <w:color w:val="000000" w:themeColor="text1"/>
        </w:rPr>
        <w:t>Akturk</w:t>
      </w:r>
      <w:proofErr w:type="spellEnd"/>
      <w:r w:rsidRPr="00942374">
        <w:rPr>
          <w:rFonts w:eastAsia="Times New Roman"/>
          <w:color w:val="000000" w:themeColor="text1"/>
        </w:rPr>
        <w:t xml:space="preserve">, A., &amp; </w:t>
      </w:r>
      <w:proofErr w:type="spellStart"/>
      <w:r w:rsidRPr="00942374">
        <w:rPr>
          <w:rFonts w:eastAsia="Times New Roman"/>
          <w:color w:val="000000" w:themeColor="text1"/>
        </w:rPr>
        <w:t>Sahin</w:t>
      </w:r>
      <w:proofErr w:type="spellEnd"/>
      <w:r w:rsidRPr="00942374">
        <w:rPr>
          <w:rFonts w:eastAsia="Times New Roman"/>
          <w:color w:val="000000" w:themeColor="text1"/>
        </w:rPr>
        <w:t xml:space="preserve">, I. (2011). Literature Review on Metacognition and its Measurement. </w:t>
      </w:r>
      <w:r w:rsidRPr="00942374">
        <w:rPr>
          <w:rFonts w:eastAsia="Times New Roman"/>
          <w:i/>
          <w:color w:val="000000" w:themeColor="text1"/>
        </w:rPr>
        <w:t xml:space="preserve">Procedia - Social and </w:t>
      </w:r>
      <w:proofErr w:type="spellStart"/>
      <w:r w:rsidRPr="00942374">
        <w:rPr>
          <w:rFonts w:eastAsia="Times New Roman"/>
          <w:i/>
          <w:color w:val="000000" w:themeColor="text1"/>
        </w:rPr>
        <w:t>Behavioral</w:t>
      </w:r>
      <w:proofErr w:type="spellEnd"/>
      <w:r w:rsidRPr="00942374">
        <w:rPr>
          <w:rFonts w:eastAsia="Times New Roman"/>
          <w:i/>
          <w:color w:val="000000" w:themeColor="text1"/>
        </w:rPr>
        <w:t xml:space="preserve"> Sciences, 15</w:t>
      </w:r>
      <w:r w:rsidRPr="00942374">
        <w:rPr>
          <w:rFonts w:eastAsia="Times New Roman"/>
          <w:color w:val="000000" w:themeColor="text1"/>
        </w:rPr>
        <w:t xml:space="preserve">. </w:t>
      </w:r>
      <w:hyperlink r:id="rId8" w:history="1">
        <w:r w:rsidRPr="00942374">
          <w:rPr>
            <w:rStyle w:val="Hyperlink"/>
            <w:rFonts w:eastAsia="Times New Roman"/>
            <w:color w:val="000000" w:themeColor="text1"/>
          </w:rPr>
          <w:t>https://doi.org/10.1016/j.sbspro.2011.04.364</w:t>
        </w:r>
      </w:hyperlink>
    </w:p>
    <w:p w14:paraId="5819D588" w14:textId="77777777" w:rsidR="00B1565D" w:rsidRPr="00942374" w:rsidRDefault="00B1565D" w:rsidP="00942374">
      <w:pPr>
        <w:spacing w:line="260" w:lineRule="exact"/>
        <w:ind w:left="482" w:hanging="482"/>
        <w:rPr>
          <w:rFonts w:eastAsia="Times New Roman"/>
          <w:color w:val="000000" w:themeColor="text1"/>
        </w:rPr>
      </w:pPr>
      <w:r w:rsidRPr="00942374">
        <w:rPr>
          <w:rFonts w:eastAsia="Times New Roman"/>
          <w:color w:val="000000" w:themeColor="text1"/>
        </w:rPr>
        <w:t xml:space="preserve">Angelini, M. L., &amp; Álvarez, N. (2018). Spreading lesson study in pre-service teacher instruction. </w:t>
      </w:r>
      <w:r w:rsidRPr="00942374">
        <w:rPr>
          <w:rFonts w:eastAsia="Times New Roman"/>
          <w:i/>
          <w:color w:val="000000" w:themeColor="text1"/>
        </w:rPr>
        <w:t>International Journal for Lesson and Learning Studies, 7</w:t>
      </w:r>
      <w:r w:rsidRPr="00942374">
        <w:rPr>
          <w:rFonts w:eastAsia="Times New Roman"/>
          <w:color w:val="000000" w:themeColor="text1"/>
        </w:rPr>
        <w:t xml:space="preserve">(1), 23-36. </w:t>
      </w:r>
      <w:hyperlink r:id="rId9" w:tooltip="DOI: https://doi.org/10.1108/IJLLS-03-2017-0016" w:history="1">
        <w:r w:rsidRPr="00942374">
          <w:rPr>
            <w:rFonts w:eastAsia="Times New Roman"/>
            <w:color w:val="000000" w:themeColor="text1"/>
          </w:rPr>
          <w:t>https://doi.org/10.1108/IJLLS-03-2017-0016</w:t>
        </w:r>
      </w:hyperlink>
    </w:p>
    <w:p w14:paraId="1195EA7B" w14:textId="77777777" w:rsidR="00B1565D" w:rsidRPr="00942374" w:rsidRDefault="00B1565D" w:rsidP="00942374">
      <w:pPr>
        <w:spacing w:line="260" w:lineRule="exact"/>
        <w:ind w:left="482" w:hanging="482"/>
        <w:rPr>
          <w:color w:val="000000" w:themeColor="text1"/>
        </w:rPr>
      </w:pPr>
      <w:r w:rsidRPr="00942374">
        <w:rPr>
          <w:color w:val="000000" w:themeColor="text1"/>
        </w:rPr>
        <w:t>Brown, A. L. (1987). Metacognition, executive control, self-</w:t>
      </w:r>
      <w:proofErr w:type="gramStart"/>
      <w:r w:rsidRPr="00942374">
        <w:rPr>
          <w:color w:val="000000" w:themeColor="text1"/>
        </w:rPr>
        <w:t>regulation</w:t>
      </w:r>
      <w:proofErr w:type="gramEnd"/>
      <w:r w:rsidRPr="00942374">
        <w:rPr>
          <w:color w:val="000000" w:themeColor="text1"/>
        </w:rPr>
        <w:t xml:space="preserve"> and other more mysterious mechanisms. In F. E. Weinert &amp; R. H. </w:t>
      </w:r>
      <w:proofErr w:type="spellStart"/>
      <w:r w:rsidRPr="00942374">
        <w:rPr>
          <w:color w:val="000000" w:themeColor="text1"/>
        </w:rPr>
        <w:t>Kluwe</w:t>
      </w:r>
      <w:proofErr w:type="spellEnd"/>
      <w:r w:rsidRPr="00942374">
        <w:rPr>
          <w:color w:val="000000" w:themeColor="text1"/>
        </w:rPr>
        <w:t xml:space="preserve"> (Eds.), </w:t>
      </w:r>
      <w:r w:rsidRPr="00942374">
        <w:rPr>
          <w:i/>
          <w:color w:val="000000" w:themeColor="text1"/>
        </w:rPr>
        <w:t>Metacognition, motivation and understanding</w:t>
      </w:r>
      <w:r w:rsidRPr="00942374">
        <w:rPr>
          <w:color w:val="000000" w:themeColor="text1"/>
        </w:rPr>
        <w:t xml:space="preserve"> (pp. 65-116). Hillsdale: Laurence Erlbaum Associates. </w:t>
      </w:r>
    </w:p>
    <w:p w14:paraId="2701C946" w14:textId="77777777" w:rsidR="00B1565D" w:rsidRPr="00942374" w:rsidRDefault="00B1565D" w:rsidP="00942374">
      <w:pPr>
        <w:spacing w:line="260" w:lineRule="exact"/>
        <w:ind w:left="482" w:hanging="482"/>
        <w:rPr>
          <w:rFonts w:eastAsia="Times New Roman"/>
          <w:color w:val="000000" w:themeColor="text1"/>
        </w:rPr>
      </w:pPr>
      <w:r w:rsidRPr="00942374">
        <w:rPr>
          <w:rFonts w:eastAsia="Times New Roman"/>
          <w:color w:val="000000" w:themeColor="text1"/>
          <w:shd w:val="clear" w:color="auto" w:fill="FFFFFF"/>
        </w:rPr>
        <w:t xml:space="preserve">Caplan, R. D., Naidu, R. K., &amp; Tripathi, R. C. (1984). Coping and </w:t>
      </w:r>
      <w:proofErr w:type="spellStart"/>
      <w:r w:rsidRPr="00942374">
        <w:rPr>
          <w:rFonts w:eastAsia="Times New Roman"/>
          <w:color w:val="000000" w:themeColor="text1"/>
          <w:shd w:val="clear" w:color="auto" w:fill="FFFFFF"/>
        </w:rPr>
        <w:t>defense</w:t>
      </w:r>
      <w:proofErr w:type="spellEnd"/>
      <w:r w:rsidRPr="00942374">
        <w:rPr>
          <w:rFonts w:eastAsia="Times New Roman"/>
          <w:color w:val="000000" w:themeColor="text1"/>
          <w:shd w:val="clear" w:color="auto" w:fill="FFFFFF"/>
        </w:rPr>
        <w:t>: Constellations vs. components.</w:t>
      </w:r>
      <w:r w:rsidRPr="00942374">
        <w:rPr>
          <w:rStyle w:val="apple-converted-space"/>
          <w:rFonts w:eastAsia="Times New Roman"/>
          <w:color w:val="000000" w:themeColor="text1"/>
          <w:shd w:val="clear" w:color="auto" w:fill="FFFFFF"/>
        </w:rPr>
        <w:t> </w:t>
      </w:r>
      <w:r w:rsidRPr="00942374">
        <w:rPr>
          <w:rStyle w:val="Emphasis"/>
          <w:rFonts w:eastAsia="Times New Roman"/>
          <w:iCs w:val="0"/>
          <w:color w:val="000000" w:themeColor="text1"/>
        </w:rPr>
        <w:t xml:space="preserve">Journal of Health and Social </w:t>
      </w:r>
      <w:proofErr w:type="spellStart"/>
      <w:r w:rsidRPr="00942374">
        <w:rPr>
          <w:rStyle w:val="Emphasis"/>
          <w:rFonts w:eastAsia="Times New Roman"/>
          <w:iCs w:val="0"/>
          <w:color w:val="000000" w:themeColor="text1"/>
        </w:rPr>
        <w:t>Behavior</w:t>
      </w:r>
      <w:proofErr w:type="spellEnd"/>
      <w:r w:rsidRPr="00942374">
        <w:rPr>
          <w:rStyle w:val="Emphasis"/>
          <w:rFonts w:eastAsia="Times New Roman"/>
          <w:iCs w:val="0"/>
          <w:color w:val="000000" w:themeColor="text1"/>
        </w:rPr>
        <w:t>, 25</w:t>
      </w:r>
      <w:r w:rsidRPr="00942374">
        <w:rPr>
          <w:rFonts w:eastAsia="Times New Roman"/>
          <w:color w:val="000000" w:themeColor="text1"/>
          <w:shd w:val="clear" w:color="auto" w:fill="FFFFFF"/>
        </w:rPr>
        <w:t>(3), 303–320.</w:t>
      </w:r>
      <w:r w:rsidRPr="00942374">
        <w:rPr>
          <w:rStyle w:val="apple-converted-space"/>
          <w:rFonts w:eastAsia="Times New Roman"/>
          <w:color w:val="000000" w:themeColor="text1"/>
          <w:shd w:val="clear" w:color="auto" w:fill="FFFFFF"/>
        </w:rPr>
        <w:t> </w:t>
      </w:r>
      <w:hyperlink r:id="rId10" w:tgtFrame="_blank" w:history="1">
        <w:r w:rsidRPr="00942374">
          <w:rPr>
            <w:rStyle w:val="Hyperlink"/>
            <w:rFonts w:eastAsia="Times New Roman"/>
            <w:color w:val="000000" w:themeColor="text1"/>
            <w:u w:val="none"/>
          </w:rPr>
          <w:t>https://doi.org/10.2307/2136427</w:t>
        </w:r>
      </w:hyperlink>
    </w:p>
    <w:p w14:paraId="51C91A6E" w14:textId="77777777" w:rsidR="00B1565D" w:rsidRPr="00942374" w:rsidRDefault="00B1565D" w:rsidP="00942374">
      <w:pPr>
        <w:spacing w:line="260" w:lineRule="exact"/>
        <w:ind w:left="482" w:hanging="482"/>
        <w:rPr>
          <w:rFonts w:eastAsia="Times New Roman"/>
          <w:color w:val="000000" w:themeColor="text1"/>
        </w:rPr>
      </w:pPr>
      <w:proofErr w:type="spellStart"/>
      <w:r w:rsidRPr="00942374">
        <w:rPr>
          <w:rFonts w:eastAsia="Times New Roman"/>
          <w:color w:val="000000" w:themeColor="text1"/>
        </w:rPr>
        <w:t>Cerbin</w:t>
      </w:r>
      <w:proofErr w:type="spellEnd"/>
      <w:r w:rsidRPr="00942374">
        <w:rPr>
          <w:rFonts w:eastAsia="Times New Roman"/>
          <w:color w:val="000000" w:themeColor="text1"/>
        </w:rPr>
        <w:t xml:space="preserve">, W., &amp; Kopp. B. (2006). Lesson study as a model for building pedagogical knowledge and improving teaching. </w:t>
      </w:r>
      <w:r w:rsidRPr="00942374">
        <w:rPr>
          <w:rFonts w:eastAsia="Times New Roman"/>
          <w:i/>
          <w:color w:val="000000" w:themeColor="text1"/>
        </w:rPr>
        <w:t>International Journal of Teaching and Learning in Higher Education, 18</w:t>
      </w:r>
      <w:r w:rsidRPr="00942374">
        <w:rPr>
          <w:rFonts w:eastAsia="Times New Roman"/>
          <w:color w:val="000000" w:themeColor="text1"/>
        </w:rPr>
        <w:t xml:space="preserve">(3), 250-257. Retrieved from </w:t>
      </w:r>
      <w:hyperlink r:id="rId11" w:history="1">
        <w:r w:rsidRPr="00942374">
          <w:rPr>
            <w:rStyle w:val="Hyperlink"/>
            <w:rFonts w:eastAsia="Times New Roman"/>
            <w:color w:val="000000" w:themeColor="text1"/>
          </w:rPr>
          <w:t>https://eric.ed.gov/?id=EJ1068058</w:t>
        </w:r>
      </w:hyperlink>
    </w:p>
    <w:p w14:paraId="62E52806" w14:textId="77777777" w:rsidR="00B1565D" w:rsidRPr="00942374" w:rsidRDefault="00B1565D" w:rsidP="00942374">
      <w:pPr>
        <w:spacing w:line="260" w:lineRule="exact"/>
        <w:ind w:left="482" w:hanging="482"/>
        <w:rPr>
          <w:color w:val="000000" w:themeColor="text1"/>
        </w:rPr>
      </w:pPr>
      <w:proofErr w:type="spellStart"/>
      <w:r w:rsidRPr="00942374">
        <w:rPr>
          <w:color w:val="000000" w:themeColor="text1"/>
          <w:shd w:val="clear" w:color="auto" w:fill="FFFFFF"/>
        </w:rPr>
        <w:t>Cheng,</w:t>
      </w:r>
      <w:proofErr w:type="spellEnd"/>
      <w:r w:rsidRPr="00942374">
        <w:rPr>
          <w:color w:val="000000" w:themeColor="text1"/>
          <w:shd w:val="clear" w:color="auto" w:fill="FFFFFF"/>
        </w:rPr>
        <w:t xml:space="preserve"> C. K. (2011a). The role of self-regulated learning in enhancing learning performance</w:t>
      </w:r>
      <w:r w:rsidRPr="00942374">
        <w:rPr>
          <w:i/>
          <w:color w:val="000000" w:themeColor="text1"/>
          <w:shd w:val="clear" w:color="auto" w:fill="FFFFFF"/>
        </w:rPr>
        <w:t>. International Journal of Research and Review, 6</w:t>
      </w:r>
      <w:r w:rsidRPr="00942374">
        <w:rPr>
          <w:color w:val="000000" w:themeColor="text1"/>
          <w:shd w:val="clear" w:color="auto" w:fill="FFFFFF"/>
        </w:rPr>
        <w:t>(1), 1-16.</w:t>
      </w:r>
    </w:p>
    <w:p w14:paraId="29DD8D00" w14:textId="77777777" w:rsidR="00B1565D" w:rsidRPr="00942374" w:rsidRDefault="00B1565D" w:rsidP="00942374">
      <w:pPr>
        <w:spacing w:line="260" w:lineRule="exact"/>
        <w:ind w:left="482" w:hanging="482"/>
        <w:rPr>
          <w:color w:val="000000" w:themeColor="text1"/>
        </w:rPr>
      </w:pPr>
      <w:proofErr w:type="spellStart"/>
      <w:r w:rsidRPr="00942374">
        <w:rPr>
          <w:color w:val="000000" w:themeColor="text1"/>
        </w:rPr>
        <w:t>Cheng,</w:t>
      </w:r>
      <w:proofErr w:type="spellEnd"/>
      <w:r w:rsidRPr="00942374">
        <w:rPr>
          <w:color w:val="000000" w:themeColor="text1"/>
        </w:rPr>
        <w:t xml:space="preserve"> C.K. (2011b). How lesson study develops pre-service teacher instructional design competency? </w:t>
      </w:r>
      <w:r w:rsidRPr="00942374">
        <w:rPr>
          <w:i/>
          <w:color w:val="000000" w:themeColor="text1"/>
        </w:rPr>
        <w:t>The International Journal of Research and Review, 7</w:t>
      </w:r>
      <w:r w:rsidRPr="00942374">
        <w:rPr>
          <w:color w:val="000000" w:themeColor="text1"/>
        </w:rPr>
        <w:t>(1), 67-79.</w:t>
      </w:r>
    </w:p>
    <w:p w14:paraId="33771430" w14:textId="77777777" w:rsidR="00B1565D" w:rsidRPr="00942374" w:rsidRDefault="00B1565D" w:rsidP="00942374">
      <w:pPr>
        <w:spacing w:line="260" w:lineRule="exact"/>
        <w:ind w:left="482" w:hanging="482"/>
        <w:rPr>
          <w:color w:val="000000" w:themeColor="text1"/>
          <w:shd w:val="clear" w:color="auto" w:fill="FFFFFF"/>
        </w:rPr>
      </w:pPr>
    </w:p>
    <w:p w14:paraId="7A4E5172" w14:textId="77777777" w:rsidR="00B1565D" w:rsidRPr="00942374" w:rsidRDefault="00B1565D" w:rsidP="00942374">
      <w:pPr>
        <w:spacing w:line="260" w:lineRule="exact"/>
        <w:ind w:left="482" w:hanging="482"/>
        <w:rPr>
          <w:rFonts w:eastAsia="Arial Unicode MS"/>
          <w:color w:val="000000" w:themeColor="text1"/>
        </w:rPr>
      </w:pPr>
      <w:r w:rsidRPr="00942374">
        <w:rPr>
          <w:color w:val="000000" w:themeColor="text1"/>
          <w:shd w:val="clear" w:color="auto" w:fill="FFFFFF"/>
        </w:rPr>
        <w:t>Cheng, E. C. K. (2014). Learning Study: Nurturing the instructional design and teaching competency of pre-service teachers. </w:t>
      </w:r>
      <w:r w:rsidRPr="00942374">
        <w:rPr>
          <w:i/>
          <w:color w:val="000000" w:themeColor="text1"/>
          <w:shd w:val="clear" w:color="auto" w:fill="FFFFFF"/>
        </w:rPr>
        <w:t>Asia-Pacific Journal of Teacher Education, 42</w:t>
      </w:r>
      <w:r w:rsidRPr="00942374">
        <w:rPr>
          <w:color w:val="000000" w:themeColor="text1"/>
          <w:shd w:val="clear" w:color="auto" w:fill="FFFFFF"/>
        </w:rPr>
        <w:t xml:space="preserve">(1), 51-66. </w:t>
      </w:r>
      <w:hyperlink r:id="rId12" w:history="1">
        <w:r w:rsidRPr="00942374">
          <w:rPr>
            <w:rStyle w:val="Hyperlink"/>
            <w:color w:val="000000" w:themeColor="text1"/>
            <w:shd w:val="clear" w:color="auto" w:fill="FFFFFF"/>
          </w:rPr>
          <w:t>https://doi.org/</w:t>
        </w:r>
        <w:r w:rsidRPr="00942374">
          <w:rPr>
            <w:rStyle w:val="Hyperlink"/>
            <w:rFonts w:eastAsia="Arial Unicode MS"/>
            <w:color w:val="000000" w:themeColor="text1"/>
          </w:rPr>
          <w:t>10.1080/1359866X.2013.869546</w:t>
        </w:r>
      </w:hyperlink>
    </w:p>
    <w:p w14:paraId="34CB3586" w14:textId="77777777" w:rsidR="00B1565D" w:rsidRPr="00942374" w:rsidRDefault="00B1565D" w:rsidP="00942374">
      <w:pPr>
        <w:spacing w:line="260" w:lineRule="exact"/>
        <w:ind w:left="482" w:hanging="482"/>
        <w:rPr>
          <w:rFonts w:eastAsia="Times New Roman"/>
          <w:color w:val="000000" w:themeColor="text1"/>
        </w:rPr>
      </w:pPr>
      <w:proofErr w:type="spellStart"/>
      <w:r w:rsidRPr="00942374">
        <w:rPr>
          <w:color w:val="000000" w:themeColor="text1"/>
          <w:shd w:val="clear" w:color="auto" w:fill="FFFFFF"/>
        </w:rPr>
        <w:t>Cheng,</w:t>
      </w:r>
      <w:proofErr w:type="spellEnd"/>
      <w:r w:rsidRPr="00942374">
        <w:rPr>
          <w:color w:val="000000" w:themeColor="text1"/>
          <w:shd w:val="clear" w:color="auto" w:fill="FFFFFF"/>
        </w:rPr>
        <w:t xml:space="preserve"> E.C.K. (2017). Managing School-based Professional Development Activities. </w:t>
      </w:r>
      <w:r w:rsidRPr="00942374">
        <w:rPr>
          <w:i/>
          <w:color w:val="000000" w:themeColor="text1"/>
          <w:shd w:val="clear" w:color="auto" w:fill="FFFFFF"/>
        </w:rPr>
        <w:t>International Journal of Educational Management, 31</w:t>
      </w:r>
      <w:r w:rsidRPr="00942374">
        <w:rPr>
          <w:color w:val="000000" w:themeColor="text1"/>
          <w:shd w:val="clear" w:color="auto" w:fill="FFFFFF"/>
        </w:rPr>
        <w:t xml:space="preserve">(4), 445-454. </w:t>
      </w:r>
      <w:hyperlink r:id="rId13" w:tooltip="DOI: https://doi.org/10.1108/IJEM-02-2016-0042" w:history="1">
        <w:r w:rsidRPr="00942374">
          <w:rPr>
            <w:rStyle w:val="Hyperlink"/>
            <w:rFonts w:eastAsia="Times New Roman"/>
            <w:color w:val="000000" w:themeColor="text1"/>
          </w:rPr>
          <w:t>https://doi.org/10.1108/IJEM-02-2016-0042</w:t>
        </w:r>
      </w:hyperlink>
    </w:p>
    <w:p w14:paraId="5F076841" w14:textId="77777777" w:rsidR="00B1565D" w:rsidRPr="00942374" w:rsidRDefault="00B1565D" w:rsidP="00942374">
      <w:pPr>
        <w:spacing w:line="260" w:lineRule="exact"/>
        <w:ind w:left="482" w:hanging="482"/>
        <w:rPr>
          <w:color w:val="000000" w:themeColor="text1"/>
        </w:rPr>
      </w:pPr>
      <w:proofErr w:type="spellStart"/>
      <w:r w:rsidRPr="00942374">
        <w:rPr>
          <w:color w:val="000000" w:themeColor="text1"/>
        </w:rPr>
        <w:lastRenderedPageBreak/>
        <w:t>Cheng,</w:t>
      </w:r>
      <w:proofErr w:type="spellEnd"/>
      <w:r w:rsidRPr="00942374">
        <w:rPr>
          <w:color w:val="000000" w:themeColor="text1"/>
        </w:rPr>
        <w:t xml:space="preserve"> E.C.K. (2018). </w:t>
      </w:r>
      <w:r w:rsidRPr="00942374">
        <w:rPr>
          <w:i/>
          <w:color w:val="000000" w:themeColor="text1"/>
        </w:rPr>
        <w:t>Successful Transposition of Lesson Study: A Knowledge Management Perspective</w:t>
      </w:r>
      <w:r w:rsidRPr="00942374">
        <w:rPr>
          <w:color w:val="000000" w:themeColor="text1"/>
        </w:rPr>
        <w:t>. London: Springer.</w:t>
      </w:r>
    </w:p>
    <w:p w14:paraId="79C2F1E5" w14:textId="77777777" w:rsidR="00B1565D" w:rsidRPr="00942374" w:rsidRDefault="00B1565D" w:rsidP="00942374">
      <w:pPr>
        <w:spacing w:line="260" w:lineRule="exact"/>
        <w:ind w:left="482" w:hanging="482"/>
        <w:rPr>
          <w:color w:val="000000" w:themeColor="text1"/>
        </w:rPr>
      </w:pPr>
      <w:r w:rsidRPr="00942374">
        <w:rPr>
          <w:color w:val="000000" w:themeColor="text1"/>
        </w:rPr>
        <w:t xml:space="preserve">Cheng E. C. K., &amp; Lee J. C. K. (2019). Lesson Study: Curriculum management for 21st century skills. In M. Connolly, D. H. Eddy-Spicer, C. James, &amp; S. D. Kruse (Eds.), </w:t>
      </w:r>
      <w:r w:rsidRPr="00942374">
        <w:rPr>
          <w:i/>
          <w:color w:val="000000" w:themeColor="text1"/>
        </w:rPr>
        <w:t>The SAGE handbook of school organization</w:t>
      </w:r>
      <w:r w:rsidRPr="00942374">
        <w:rPr>
          <w:color w:val="000000" w:themeColor="text1"/>
        </w:rPr>
        <w:t xml:space="preserve">, (pp.447-464). London: SAGE Publications Ltd. </w:t>
      </w:r>
    </w:p>
    <w:p w14:paraId="55C4A0A5" w14:textId="77777777" w:rsidR="00B1565D" w:rsidRPr="00942374" w:rsidRDefault="00B1565D" w:rsidP="00942374">
      <w:pPr>
        <w:spacing w:line="260" w:lineRule="exact"/>
        <w:ind w:left="482" w:hanging="482"/>
        <w:rPr>
          <w:color w:val="000000" w:themeColor="text1"/>
        </w:rPr>
      </w:pPr>
      <w:proofErr w:type="spellStart"/>
      <w:r w:rsidRPr="00942374">
        <w:rPr>
          <w:color w:val="000000" w:themeColor="text1"/>
        </w:rPr>
        <w:t>Coenders</w:t>
      </w:r>
      <w:proofErr w:type="spellEnd"/>
      <w:r w:rsidRPr="00942374">
        <w:rPr>
          <w:color w:val="000000" w:themeColor="text1"/>
        </w:rPr>
        <w:t xml:space="preserve"> F. &amp; Verhoef N., (2019). Lesson study: professional development (PD) for beginning and experienced teachers. </w:t>
      </w:r>
      <w:r w:rsidRPr="00942374">
        <w:rPr>
          <w:i/>
          <w:color w:val="000000" w:themeColor="text1"/>
        </w:rPr>
        <w:t>Professional Development in Education, (45)</w:t>
      </w:r>
      <w:r w:rsidRPr="00942374">
        <w:rPr>
          <w:color w:val="000000" w:themeColor="text1"/>
        </w:rPr>
        <w:t>2, 217-230. https://doi.org/</w:t>
      </w:r>
      <w:hyperlink r:id="rId14" w:history="1">
        <w:r w:rsidRPr="00942374">
          <w:rPr>
            <w:color w:val="000000" w:themeColor="text1"/>
          </w:rPr>
          <w:t>10.1080/19415257.2018.1430050</w:t>
        </w:r>
      </w:hyperlink>
    </w:p>
    <w:p w14:paraId="6F04DBBA" w14:textId="77777777" w:rsidR="00B1565D" w:rsidRPr="00942374" w:rsidRDefault="00B1565D" w:rsidP="00942374">
      <w:pPr>
        <w:spacing w:line="260" w:lineRule="exact"/>
        <w:ind w:left="482" w:hanging="482"/>
        <w:rPr>
          <w:color w:val="000000" w:themeColor="text1"/>
        </w:rPr>
      </w:pPr>
      <w:r w:rsidRPr="00942374">
        <w:rPr>
          <w:color w:val="000000" w:themeColor="text1"/>
        </w:rPr>
        <w:t>Connolly, U., &amp; James, C. (1998). Managing the school improvement journey: The role of continuing professional development.</w:t>
      </w:r>
      <w:r w:rsidRPr="00942374">
        <w:t> </w:t>
      </w:r>
      <w:r w:rsidRPr="00942374">
        <w:rPr>
          <w:i/>
          <w:color w:val="000000" w:themeColor="text1"/>
        </w:rPr>
        <w:t>Journal of In-Service Education,</w:t>
      </w:r>
      <w:r w:rsidRPr="00942374">
        <w:rPr>
          <w:i/>
        </w:rPr>
        <w:t> </w:t>
      </w:r>
      <w:r w:rsidRPr="00942374">
        <w:rPr>
          <w:i/>
          <w:color w:val="000000" w:themeColor="text1"/>
        </w:rPr>
        <w:t>24</w:t>
      </w:r>
      <w:r w:rsidRPr="00942374">
        <w:rPr>
          <w:color w:val="000000" w:themeColor="text1"/>
        </w:rPr>
        <w:t>(2), 271-282. https://doi.org/</w:t>
      </w:r>
      <w:hyperlink r:id="rId15" w:history="1">
        <w:r w:rsidRPr="00942374">
          <w:rPr>
            <w:color w:val="000000" w:themeColor="text1"/>
          </w:rPr>
          <w:t>10.1080/13674589800200042</w:t>
        </w:r>
      </w:hyperlink>
    </w:p>
    <w:p w14:paraId="5335555D" w14:textId="77777777" w:rsidR="00B1565D" w:rsidRPr="00942374" w:rsidRDefault="00B1565D" w:rsidP="00942374">
      <w:pPr>
        <w:spacing w:line="260" w:lineRule="exact"/>
        <w:ind w:left="482" w:hanging="482"/>
        <w:rPr>
          <w:color w:val="000000" w:themeColor="text1"/>
        </w:rPr>
      </w:pPr>
      <w:r w:rsidRPr="00942374">
        <w:rPr>
          <w:color w:val="000000" w:themeColor="text1"/>
        </w:rPr>
        <w:t xml:space="preserve">Curriculum Development Council. (2015). Ongoing renewal of the school curriculum – focusing, deepening, and sustaining. </w:t>
      </w:r>
      <w:r w:rsidRPr="00942374">
        <w:rPr>
          <w:color w:val="000000" w:themeColor="text1"/>
          <w:lang w:val="en-US" w:eastAsia="zh-TW"/>
        </w:rPr>
        <w:t>Updating the technology education key learning area curriculum (primary 1 to secondary 6), consultation brief</w:t>
      </w:r>
      <w:r w:rsidRPr="00942374">
        <w:rPr>
          <w:color w:val="000000" w:themeColor="text1"/>
        </w:rPr>
        <w:t xml:space="preserve">. Hong Kong: Author. Retrieved from </w:t>
      </w:r>
      <w:hyperlink r:id="rId16" w:history="1">
        <w:r w:rsidRPr="00942374">
          <w:rPr>
            <w:rStyle w:val="Hyperlink"/>
            <w:color w:val="000000" w:themeColor="text1"/>
          </w:rPr>
          <w:t>https://www.edb.gov.hk/attachment/en/curriculum-development/renewal/Brief_TEKLA_E.pdf</w:t>
        </w:r>
      </w:hyperlink>
    </w:p>
    <w:p w14:paraId="0C709825" w14:textId="77777777" w:rsidR="00B1565D" w:rsidRPr="00942374" w:rsidRDefault="00B1565D" w:rsidP="00942374">
      <w:pPr>
        <w:spacing w:line="260" w:lineRule="exact"/>
        <w:ind w:left="482" w:hanging="482"/>
        <w:rPr>
          <w:color w:val="000000" w:themeColor="text1"/>
        </w:rPr>
      </w:pPr>
      <w:r w:rsidRPr="00942374">
        <w:rPr>
          <w:color w:val="000000" w:themeColor="text1"/>
        </w:rPr>
        <w:t xml:space="preserve">Curriculum Development Council. (2017). Secondary School Curriculum Guide Booklet 11: Professional Development and Schools as Learning Organisations. Hong Kong: the author. Retrieved from </w:t>
      </w:r>
      <w:hyperlink r:id="rId17" w:history="1">
        <w:r w:rsidRPr="00942374">
          <w:rPr>
            <w:rStyle w:val="Hyperlink"/>
          </w:rPr>
          <w:t>https://www.edb.gov.hk/attachment/en/curriculum-development/renewal/Guides/SECG%20booklet%2011_en_20180831.pdf</w:t>
        </w:r>
      </w:hyperlink>
    </w:p>
    <w:p w14:paraId="1D5215AC" w14:textId="0A889DBB" w:rsidR="003F34B9" w:rsidRPr="00942374" w:rsidRDefault="00B1565D" w:rsidP="00942374">
      <w:pPr>
        <w:spacing w:line="260" w:lineRule="exact"/>
        <w:ind w:left="482" w:hanging="482"/>
        <w:rPr>
          <w:color w:val="000000" w:themeColor="text1"/>
        </w:rPr>
      </w:pPr>
      <w:r w:rsidRPr="00942374">
        <w:rPr>
          <w:color w:val="000000" w:themeColor="text1"/>
        </w:rPr>
        <w:t xml:space="preserve">Da Ponte, J. P. (2017). Lesson studies in initial mathematics teacher education. </w:t>
      </w:r>
      <w:r w:rsidRPr="00942374">
        <w:rPr>
          <w:i/>
          <w:color w:val="000000" w:themeColor="text1"/>
        </w:rPr>
        <w:t>International Journal for Lesson and Learning Studies, 6</w:t>
      </w:r>
      <w:r w:rsidRPr="00942374">
        <w:rPr>
          <w:color w:val="000000" w:themeColor="text1"/>
        </w:rPr>
        <w:t>(2), 169-181.</w:t>
      </w:r>
      <w:r w:rsidR="003F34B9" w:rsidRPr="00942374">
        <w:rPr>
          <w:color w:val="000000" w:themeColor="text1"/>
        </w:rPr>
        <w:t xml:space="preserve"> </w:t>
      </w:r>
      <w:hyperlink r:id="rId18" w:tooltip="DOI: https://doi.org/10.1108/IJLLS-08-2016-0021" w:history="1">
        <w:r w:rsidR="003F34B9" w:rsidRPr="00942374">
          <w:rPr>
            <w:color w:val="000000" w:themeColor="text1"/>
          </w:rPr>
          <w:t>https://doi.org/10.1108/IJLLS-08-2016-0021</w:t>
        </w:r>
      </w:hyperlink>
    </w:p>
    <w:p w14:paraId="4A4A82B0" w14:textId="2CD03240" w:rsidR="00B1565D" w:rsidRPr="00942374" w:rsidRDefault="00B1565D" w:rsidP="00942374">
      <w:pPr>
        <w:spacing w:line="260" w:lineRule="exact"/>
        <w:ind w:left="482" w:hanging="482"/>
        <w:rPr>
          <w:color w:val="000000" w:themeColor="text1"/>
        </w:rPr>
      </w:pPr>
      <w:r w:rsidRPr="00942374">
        <w:rPr>
          <w:color w:val="000000" w:themeColor="text1"/>
        </w:rPr>
        <w:t xml:space="preserve">De Backer, L., Van </w:t>
      </w:r>
      <w:proofErr w:type="spellStart"/>
      <w:r w:rsidRPr="00942374">
        <w:rPr>
          <w:color w:val="000000" w:themeColor="text1"/>
        </w:rPr>
        <w:t>Keer</w:t>
      </w:r>
      <w:proofErr w:type="spellEnd"/>
      <w:r w:rsidRPr="00942374">
        <w:rPr>
          <w:color w:val="000000" w:themeColor="text1"/>
        </w:rPr>
        <w:t xml:space="preserve">, H., &amp; Valcke, M. (2015). Promoting university students’ metacognitive regulation through peer learning: The potential of reciprocal peer tutoring. Higher Education, 70(3), 469-486. </w:t>
      </w:r>
      <w:hyperlink r:id="rId19" w:history="1">
        <w:r w:rsidRPr="00942374">
          <w:rPr>
            <w:color w:val="000000" w:themeColor="text1"/>
          </w:rPr>
          <w:t>https://doi.org/10.1007/s10734-014-9849-3</w:t>
        </w:r>
      </w:hyperlink>
    </w:p>
    <w:p w14:paraId="4AE9278A" w14:textId="77777777" w:rsidR="00942374" w:rsidRDefault="00B1565D" w:rsidP="00887B1D">
      <w:pPr>
        <w:spacing w:line="260" w:lineRule="exact"/>
        <w:ind w:left="482" w:hanging="482"/>
        <w:rPr>
          <w:color w:val="000000" w:themeColor="text1"/>
          <w:lang w:eastAsia="zh-TW"/>
        </w:rPr>
      </w:pPr>
      <w:r w:rsidRPr="00942374">
        <w:rPr>
          <w:color w:val="000000" w:themeColor="text1"/>
          <w:lang w:eastAsia="zh-TW"/>
        </w:rPr>
        <w:t xml:space="preserve">Dudley, P. (2014). </w:t>
      </w:r>
      <w:r w:rsidRPr="00942374">
        <w:rPr>
          <w:i/>
          <w:color w:val="000000" w:themeColor="text1"/>
          <w:lang w:eastAsia="zh-TW"/>
        </w:rPr>
        <w:t>Lesson Study: A Handbook</w:t>
      </w:r>
      <w:r w:rsidRPr="00942374">
        <w:rPr>
          <w:color w:val="000000" w:themeColor="text1"/>
          <w:lang w:eastAsia="zh-TW"/>
        </w:rPr>
        <w:t xml:space="preserve">. Cambridge: LSUK. http:// lessonstudy.co.uk/lesson-study-a-handbook/ </w:t>
      </w:r>
    </w:p>
    <w:p w14:paraId="13AFFD52" w14:textId="5C873AD7" w:rsidR="00B1565D" w:rsidRPr="00942374" w:rsidRDefault="00B1565D" w:rsidP="00942374">
      <w:pPr>
        <w:widowControl w:val="0"/>
        <w:autoSpaceDE w:val="0"/>
        <w:autoSpaceDN w:val="0"/>
        <w:adjustRightInd w:val="0"/>
        <w:spacing w:after="240" w:line="260" w:lineRule="exact"/>
        <w:ind w:left="482" w:hanging="482"/>
        <w:rPr>
          <w:rStyle w:val="Hyperlink"/>
          <w:rFonts w:eastAsia="Times New Roman"/>
          <w:color w:val="000000" w:themeColor="text1"/>
          <w:spacing w:val="5"/>
        </w:rPr>
      </w:pPr>
      <w:r w:rsidRPr="00942374">
        <w:rPr>
          <w:color w:val="000000" w:themeColor="text1"/>
        </w:rPr>
        <w:t xml:space="preserve">Dudley, P. (Ed.). (2015). </w:t>
      </w:r>
      <w:r w:rsidRPr="00942374">
        <w:rPr>
          <w:i/>
          <w:color w:val="000000" w:themeColor="text1"/>
        </w:rPr>
        <w:t>Lesson Study: professional learning for our time</w:t>
      </w:r>
      <w:r w:rsidRPr="00942374">
        <w:rPr>
          <w:color w:val="000000" w:themeColor="text1"/>
        </w:rPr>
        <w:t xml:space="preserve"> (1st ed., Routledge research in education). London: Routledge. </w:t>
      </w:r>
      <w:hyperlink r:id="rId20" w:tgtFrame="_blank" w:history="1">
        <w:r w:rsidRPr="00942374">
          <w:rPr>
            <w:rStyle w:val="Hyperlink"/>
            <w:rFonts w:eastAsia="Times New Roman"/>
            <w:color w:val="000000" w:themeColor="text1"/>
            <w:spacing w:val="5"/>
          </w:rPr>
          <w:t>https://doi-org.ezproxy.eduhk.hk/10.4324/9780203795538</w:t>
        </w:r>
      </w:hyperlink>
    </w:p>
    <w:p w14:paraId="57582B21" w14:textId="77777777" w:rsidR="00B1565D" w:rsidRPr="00942374" w:rsidRDefault="00B1565D" w:rsidP="00942374">
      <w:pPr>
        <w:spacing w:line="260" w:lineRule="exact"/>
        <w:ind w:left="482" w:hanging="482"/>
        <w:rPr>
          <w:rFonts w:eastAsia="Times New Roman"/>
          <w:color w:val="000000" w:themeColor="text1"/>
          <w:shd w:val="clear" w:color="auto" w:fill="FFFFFF"/>
        </w:rPr>
      </w:pPr>
      <w:r w:rsidRPr="00942374">
        <w:rPr>
          <w:rFonts w:eastAsia="Times New Roman"/>
          <w:color w:val="000000" w:themeColor="text1"/>
          <w:shd w:val="clear" w:color="auto" w:fill="FFFFFF"/>
        </w:rPr>
        <w:t xml:space="preserve">Flavell, J. H. (1976). Metacognitive aspects of problem solving. In L. B. Resnick (Ed.), </w:t>
      </w:r>
      <w:r w:rsidRPr="00942374">
        <w:rPr>
          <w:rFonts w:eastAsia="Times New Roman"/>
          <w:i/>
          <w:color w:val="000000" w:themeColor="text1"/>
          <w:shd w:val="clear" w:color="auto" w:fill="FFFFFF"/>
        </w:rPr>
        <w:t>The Nature of Intelligence</w:t>
      </w:r>
      <w:r w:rsidRPr="00942374">
        <w:rPr>
          <w:rFonts w:eastAsia="Times New Roman"/>
          <w:color w:val="000000" w:themeColor="text1"/>
          <w:shd w:val="clear" w:color="auto" w:fill="FFFFFF"/>
        </w:rPr>
        <w:t xml:space="preserve"> (pp. 231-235). Hillsdale, NJ: Lawrence Erlbaum.</w:t>
      </w:r>
    </w:p>
    <w:p w14:paraId="58DA54DD" w14:textId="77777777" w:rsidR="00B1565D" w:rsidRPr="00942374" w:rsidRDefault="00B1565D" w:rsidP="00942374">
      <w:pPr>
        <w:spacing w:line="260" w:lineRule="exact"/>
        <w:ind w:left="482" w:hanging="482"/>
        <w:rPr>
          <w:color w:val="000000" w:themeColor="text1"/>
        </w:rPr>
      </w:pPr>
      <w:r w:rsidRPr="00942374">
        <w:rPr>
          <w:color w:val="000000" w:themeColor="text1"/>
        </w:rPr>
        <w:t xml:space="preserve">Flavell, J. H. (1979). Metacognition and cognitive monitoring: A new area of cognitive-developmental inquiry. </w:t>
      </w:r>
      <w:r w:rsidRPr="00942374">
        <w:rPr>
          <w:i/>
          <w:color w:val="000000" w:themeColor="text1"/>
        </w:rPr>
        <w:t>American Psychologist, 34</w:t>
      </w:r>
      <w:r w:rsidRPr="00942374">
        <w:rPr>
          <w:color w:val="000000" w:themeColor="text1"/>
        </w:rPr>
        <w:t>(10), 906-11.</w:t>
      </w:r>
    </w:p>
    <w:p w14:paraId="6201BC1F" w14:textId="2F7FB6F0" w:rsidR="00B923B5" w:rsidRPr="00942374" w:rsidRDefault="00B1565D" w:rsidP="00942374">
      <w:pPr>
        <w:spacing w:line="260" w:lineRule="exact"/>
        <w:ind w:left="482" w:hanging="482"/>
        <w:rPr>
          <w:rFonts w:eastAsia="Times New Roman"/>
          <w:color w:val="000000" w:themeColor="text1"/>
          <w:shd w:val="clear" w:color="auto" w:fill="F3F3F3"/>
        </w:rPr>
      </w:pPr>
      <w:r w:rsidRPr="00942374">
        <w:rPr>
          <w:rFonts w:eastAsia="Times New Roman"/>
          <w:color w:val="000000" w:themeColor="text1"/>
        </w:rPr>
        <w:t xml:space="preserve">Galini, R., &amp; Kostas, K. (2014). Reflection of pre-service teachers in a tabletop exercise of lesson study during their practicum. </w:t>
      </w:r>
      <w:r w:rsidRPr="00942374">
        <w:rPr>
          <w:rFonts w:eastAsia="Times New Roman"/>
          <w:i/>
          <w:color w:val="000000" w:themeColor="text1"/>
        </w:rPr>
        <w:t xml:space="preserve">Procedia - Social and </w:t>
      </w:r>
      <w:proofErr w:type="spellStart"/>
      <w:r w:rsidRPr="00942374">
        <w:rPr>
          <w:rFonts w:eastAsia="Times New Roman"/>
          <w:i/>
          <w:color w:val="000000" w:themeColor="text1"/>
        </w:rPr>
        <w:t>Behavioral</w:t>
      </w:r>
      <w:proofErr w:type="spellEnd"/>
      <w:r w:rsidRPr="00942374">
        <w:rPr>
          <w:rFonts w:eastAsia="Times New Roman"/>
          <w:i/>
          <w:color w:val="000000" w:themeColor="text1"/>
        </w:rPr>
        <w:t xml:space="preserve"> Sciences, 152</w:t>
      </w:r>
      <w:r w:rsidRPr="00942374">
        <w:rPr>
          <w:rFonts w:eastAsia="Times New Roman"/>
          <w:color w:val="000000" w:themeColor="text1"/>
        </w:rPr>
        <w:t xml:space="preserve">, 868-873. </w:t>
      </w:r>
      <w:hyperlink r:id="rId21" w:history="1">
        <w:r w:rsidRPr="00942374">
          <w:rPr>
            <w:rStyle w:val="Hyperlink"/>
            <w:rFonts w:eastAsia="Times New Roman"/>
          </w:rPr>
          <w:t>https://doi.org/</w:t>
        </w:r>
        <w:r w:rsidRPr="00942374">
          <w:rPr>
            <w:rStyle w:val="Hyperlink"/>
            <w:rFonts w:eastAsia="Times New Roman"/>
            <w:shd w:val="clear" w:color="auto" w:fill="F3F3F3"/>
          </w:rPr>
          <w:t>10.1016/j.sbspro.2014.09.336</w:t>
        </w:r>
      </w:hyperlink>
    </w:p>
    <w:p w14:paraId="381C40A2" w14:textId="77777777" w:rsidR="00B1565D" w:rsidRPr="00942374" w:rsidRDefault="00B1565D" w:rsidP="00942374">
      <w:pPr>
        <w:spacing w:line="260" w:lineRule="exact"/>
        <w:ind w:left="482" w:hanging="482"/>
        <w:rPr>
          <w:rFonts w:eastAsia="Times New Roman"/>
        </w:rPr>
      </w:pPr>
      <w:r w:rsidRPr="00942374">
        <w:rPr>
          <w:color w:val="000000" w:themeColor="text1"/>
        </w:rPr>
        <w:t xml:space="preserve">Haston, Warren. (2007). Teacher </w:t>
      </w:r>
      <w:proofErr w:type="spellStart"/>
      <w:r w:rsidRPr="00942374">
        <w:rPr>
          <w:color w:val="000000" w:themeColor="text1"/>
        </w:rPr>
        <w:t>modeling</w:t>
      </w:r>
      <w:proofErr w:type="spellEnd"/>
      <w:r w:rsidRPr="00942374">
        <w:rPr>
          <w:color w:val="000000" w:themeColor="text1"/>
        </w:rPr>
        <w:t xml:space="preserve"> as an effective teaching strategy: </w:t>
      </w:r>
      <w:proofErr w:type="spellStart"/>
      <w:r w:rsidRPr="00942374">
        <w:rPr>
          <w:color w:val="000000" w:themeColor="text1"/>
        </w:rPr>
        <w:t>Modeling</w:t>
      </w:r>
      <w:proofErr w:type="spellEnd"/>
      <w:r w:rsidRPr="00942374">
        <w:rPr>
          <w:color w:val="000000" w:themeColor="text1"/>
        </w:rPr>
        <w:t xml:space="preserve"> is a technique that can help your students learn effectively in many situations. </w:t>
      </w:r>
      <w:r w:rsidRPr="00942374">
        <w:rPr>
          <w:i/>
          <w:color w:val="000000" w:themeColor="text1"/>
        </w:rPr>
        <w:t>Music Educators Journal, 93</w:t>
      </w:r>
      <w:r w:rsidRPr="00942374">
        <w:rPr>
          <w:color w:val="000000" w:themeColor="text1"/>
        </w:rPr>
        <w:t xml:space="preserve">(4), 26-30. </w:t>
      </w:r>
      <w:hyperlink r:id="rId22" w:history="1">
        <w:r w:rsidRPr="00942374">
          <w:rPr>
            <w:rStyle w:val="Hyperlink"/>
          </w:rPr>
          <w:t>https://doi.org/</w:t>
        </w:r>
        <w:r w:rsidRPr="00942374">
          <w:rPr>
            <w:rStyle w:val="Hyperlink"/>
            <w:rFonts w:eastAsia="Times New Roman"/>
          </w:rPr>
          <w:t>10.1177/002743210709300414</w:t>
        </w:r>
      </w:hyperlink>
    </w:p>
    <w:p w14:paraId="2EE858F9" w14:textId="77777777" w:rsidR="00B1565D" w:rsidRPr="00942374" w:rsidRDefault="00B1565D" w:rsidP="00942374">
      <w:pPr>
        <w:spacing w:line="260" w:lineRule="exact"/>
        <w:rPr>
          <w:rFonts w:eastAsia="Times New Roman"/>
          <w:color w:val="000000" w:themeColor="text1"/>
        </w:rPr>
      </w:pPr>
    </w:p>
    <w:p w14:paraId="22AA254C" w14:textId="77777777" w:rsidR="00B1565D" w:rsidRPr="00942374" w:rsidRDefault="00B1565D" w:rsidP="00942374">
      <w:pPr>
        <w:spacing w:line="260" w:lineRule="exact"/>
        <w:ind w:left="482" w:hanging="482"/>
        <w:rPr>
          <w:rFonts w:eastAsia="Times New Roman"/>
          <w:color w:val="000000" w:themeColor="text1"/>
        </w:rPr>
      </w:pPr>
      <w:r w:rsidRPr="00942374">
        <w:rPr>
          <w:rFonts w:eastAsia="Times New Roman"/>
          <w:color w:val="000000" w:themeColor="text1"/>
        </w:rPr>
        <w:t>Hourigan M., Leavy A. M. (2019). Learning from teaching: pre-service primary teachers’ perceived learning from engaging in formal lesson study. </w:t>
      </w:r>
      <w:r w:rsidRPr="00942374">
        <w:rPr>
          <w:rFonts w:eastAsia="Times New Roman"/>
          <w:i/>
          <w:color w:val="000000" w:themeColor="text1"/>
        </w:rPr>
        <w:t>Irish Educational Studies, (38)</w:t>
      </w:r>
      <w:r w:rsidRPr="00942374">
        <w:rPr>
          <w:rFonts w:eastAsia="Times New Roman"/>
          <w:color w:val="000000" w:themeColor="text1"/>
        </w:rPr>
        <w:t>3, 283-308. https://doi.org/</w:t>
      </w:r>
      <w:hyperlink r:id="rId23" w:history="1">
        <w:r w:rsidRPr="00942374">
          <w:rPr>
            <w:rFonts w:eastAsia="Times New Roman"/>
            <w:color w:val="000000" w:themeColor="text1"/>
          </w:rPr>
          <w:t>10.1080/03323315.2019.1613252</w:t>
        </w:r>
      </w:hyperlink>
    </w:p>
    <w:p w14:paraId="7670222B" w14:textId="77777777" w:rsidR="00B1565D" w:rsidRPr="00942374" w:rsidRDefault="00B1565D" w:rsidP="00887B1D">
      <w:pPr>
        <w:spacing w:line="260" w:lineRule="exact"/>
        <w:ind w:left="482" w:hanging="482"/>
        <w:rPr>
          <w:color w:val="000000" w:themeColor="text1"/>
          <w:lang w:eastAsia="zh-TW"/>
        </w:rPr>
      </w:pPr>
      <w:proofErr w:type="spellStart"/>
      <w:r w:rsidRPr="00942374">
        <w:rPr>
          <w:color w:val="000000" w:themeColor="text1"/>
        </w:rPr>
        <w:t>Iksan</w:t>
      </w:r>
      <w:proofErr w:type="spellEnd"/>
      <w:r w:rsidRPr="00942374">
        <w:rPr>
          <w:color w:val="000000" w:themeColor="text1"/>
        </w:rPr>
        <w:t xml:space="preserve"> Z. H., Nor, S. </w:t>
      </w:r>
      <w:proofErr w:type="spellStart"/>
      <w:r w:rsidRPr="00942374">
        <w:rPr>
          <w:color w:val="000000" w:themeColor="text1"/>
        </w:rPr>
        <w:t>NorAishah</w:t>
      </w:r>
      <w:proofErr w:type="spellEnd"/>
      <w:r w:rsidRPr="00942374">
        <w:rPr>
          <w:color w:val="000000" w:themeColor="text1"/>
        </w:rPr>
        <w:t xml:space="preserve"> M., &amp; Nor, S. </w:t>
      </w:r>
      <w:proofErr w:type="spellStart"/>
      <w:r w:rsidRPr="00942374">
        <w:rPr>
          <w:color w:val="000000" w:themeColor="text1"/>
        </w:rPr>
        <w:t>NorAini</w:t>
      </w:r>
      <w:proofErr w:type="spellEnd"/>
      <w:r w:rsidRPr="00942374">
        <w:rPr>
          <w:color w:val="000000" w:themeColor="text1"/>
        </w:rPr>
        <w:t xml:space="preserve"> M. (2013). Assessment during the integration of lesson study in microteaching among pre-service teachers. </w:t>
      </w:r>
      <w:r w:rsidRPr="00942374">
        <w:rPr>
          <w:i/>
          <w:color w:val="000000" w:themeColor="text1"/>
        </w:rPr>
        <w:t>Asian Social Science, 9</w:t>
      </w:r>
      <w:r w:rsidRPr="00942374">
        <w:rPr>
          <w:color w:val="000000" w:themeColor="text1"/>
        </w:rPr>
        <w:t xml:space="preserve">(16), 112-119. </w:t>
      </w:r>
      <w:hyperlink r:id="rId24" w:history="1">
        <w:r w:rsidRPr="00942374">
          <w:rPr>
            <w:rStyle w:val="Hyperlink"/>
            <w:lang w:eastAsia="zh-TW"/>
          </w:rPr>
          <w:t>http://dx.doi.org/10.5539/ass.v9n16p112</w:t>
        </w:r>
      </w:hyperlink>
    </w:p>
    <w:p w14:paraId="46DBCF45" w14:textId="77777777" w:rsidR="00B1565D" w:rsidRPr="00942374" w:rsidRDefault="00B1565D" w:rsidP="00942374">
      <w:pPr>
        <w:spacing w:line="260" w:lineRule="exact"/>
        <w:ind w:left="482" w:hanging="482"/>
        <w:rPr>
          <w:rStyle w:val="Hyperlink"/>
          <w:rFonts w:eastAsiaTheme="majorEastAsia"/>
          <w:color w:val="000000" w:themeColor="text1"/>
        </w:rPr>
      </w:pPr>
      <w:proofErr w:type="spellStart"/>
      <w:r w:rsidRPr="00942374">
        <w:rPr>
          <w:rFonts w:eastAsiaTheme="majorEastAsia"/>
          <w:color w:val="000000" w:themeColor="text1"/>
        </w:rPr>
        <w:t>Iksan</w:t>
      </w:r>
      <w:proofErr w:type="spellEnd"/>
      <w:r w:rsidRPr="00942374">
        <w:rPr>
          <w:rFonts w:eastAsiaTheme="majorEastAsia"/>
          <w:color w:val="000000" w:themeColor="text1"/>
        </w:rPr>
        <w:t xml:space="preserve">, H., Nor, S., Mahmud, S., &amp; Zakaria, E. (2014). Applying the principle of “lesson study” in teaching science. </w:t>
      </w:r>
      <w:r w:rsidRPr="00942374">
        <w:rPr>
          <w:rFonts w:eastAsiaTheme="majorEastAsia"/>
          <w:i/>
          <w:color w:val="000000" w:themeColor="text1"/>
        </w:rPr>
        <w:t>Asian Social Science. 10</w:t>
      </w:r>
      <w:r w:rsidRPr="00942374">
        <w:rPr>
          <w:rFonts w:eastAsiaTheme="majorEastAsia"/>
          <w:color w:val="000000" w:themeColor="text1"/>
        </w:rPr>
        <w:t xml:space="preserve">(4), 108-113. </w:t>
      </w:r>
      <w:hyperlink r:id="rId25" w:history="1">
        <w:r w:rsidRPr="00942374">
          <w:rPr>
            <w:rStyle w:val="Hyperlink"/>
            <w:rFonts w:eastAsiaTheme="majorEastAsia"/>
            <w:color w:val="000000" w:themeColor="text1"/>
          </w:rPr>
          <w:t>https://doi.org/10.5539/ass.v10n4p108</w:t>
        </w:r>
      </w:hyperlink>
    </w:p>
    <w:p w14:paraId="79AB6972" w14:textId="77777777" w:rsidR="00B1565D" w:rsidRPr="00942374" w:rsidRDefault="00B1565D" w:rsidP="00887B1D">
      <w:pPr>
        <w:spacing w:line="260" w:lineRule="exact"/>
        <w:ind w:left="482" w:hanging="482"/>
        <w:rPr>
          <w:color w:val="000000" w:themeColor="text1"/>
        </w:rPr>
      </w:pPr>
      <w:proofErr w:type="spellStart"/>
      <w:r w:rsidRPr="00942374">
        <w:rPr>
          <w:color w:val="000000" w:themeColor="text1"/>
        </w:rPr>
        <w:t>Iksan</w:t>
      </w:r>
      <w:proofErr w:type="spellEnd"/>
      <w:r w:rsidRPr="00942374">
        <w:rPr>
          <w:color w:val="000000" w:themeColor="text1"/>
        </w:rPr>
        <w:t xml:space="preserve">, Z. H., Zakaria, E., &amp; </w:t>
      </w:r>
      <w:proofErr w:type="spellStart"/>
      <w:r w:rsidRPr="00942374">
        <w:rPr>
          <w:color w:val="000000" w:themeColor="text1"/>
        </w:rPr>
        <w:t>Daud</w:t>
      </w:r>
      <w:proofErr w:type="spellEnd"/>
      <w:r w:rsidRPr="00942374">
        <w:rPr>
          <w:color w:val="000000" w:themeColor="text1"/>
        </w:rPr>
        <w:t xml:space="preserve">, Md. Y. (2014). Model of Lesson Study Approach during Micro Teaching. </w:t>
      </w:r>
      <w:r w:rsidRPr="00942374">
        <w:rPr>
          <w:i/>
          <w:color w:val="000000" w:themeColor="text1"/>
        </w:rPr>
        <w:t>International Education Studies, 7</w:t>
      </w:r>
      <w:r w:rsidRPr="00942374">
        <w:rPr>
          <w:color w:val="000000" w:themeColor="text1"/>
        </w:rPr>
        <w:t>(13), https://doi.org/</w:t>
      </w:r>
      <w:hyperlink r:id="rId26" w:tgtFrame="_blank" w:history="1">
        <w:r w:rsidRPr="00942374">
          <w:rPr>
            <w:color w:val="000000" w:themeColor="text1"/>
          </w:rPr>
          <w:t>10.5539/ies.v7n13p253</w:t>
        </w:r>
      </w:hyperlink>
    </w:p>
    <w:p w14:paraId="48DA9E23" w14:textId="241FC940" w:rsidR="00B1565D" w:rsidRPr="00942374" w:rsidRDefault="00B1565D" w:rsidP="00942374">
      <w:pPr>
        <w:spacing w:line="260" w:lineRule="exact"/>
        <w:ind w:left="482" w:hanging="482"/>
        <w:rPr>
          <w:color w:val="000000" w:themeColor="text1"/>
        </w:rPr>
      </w:pPr>
      <w:r w:rsidRPr="00942374">
        <w:rPr>
          <w:color w:val="000000" w:themeColor="text1"/>
        </w:rPr>
        <w:t xml:space="preserve">Kohen Z., &amp; </w:t>
      </w:r>
      <w:proofErr w:type="spellStart"/>
      <w:r w:rsidRPr="00942374">
        <w:rPr>
          <w:color w:val="000000" w:themeColor="text1"/>
        </w:rPr>
        <w:t>Kramarski</w:t>
      </w:r>
      <w:proofErr w:type="spellEnd"/>
      <w:r w:rsidRPr="00942374">
        <w:rPr>
          <w:color w:val="000000" w:themeColor="text1"/>
        </w:rPr>
        <w:t>, B. (2018). Promoting mathematics teachers’ pedagogical metacogn</w:t>
      </w:r>
      <w:r w:rsidR="00742593" w:rsidRPr="00942374">
        <w:rPr>
          <w:color w:val="000000" w:themeColor="text1"/>
        </w:rPr>
        <w:t>i</w:t>
      </w:r>
      <w:r w:rsidRPr="00942374">
        <w:rPr>
          <w:color w:val="000000" w:themeColor="text1"/>
        </w:rPr>
        <w:t xml:space="preserve">tion: A theoretical-practical model and case study. In Dori, Y. J., </w:t>
      </w:r>
      <w:proofErr w:type="spellStart"/>
      <w:r w:rsidRPr="00942374">
        <w:rPr>
          <w:color w:val="000000" w:themeColor="text1"/>
        </w:rPr>
        <w:t>Mevarech</w:t>
      </w:r>
      <w:proofErr w:type="spellEnd"/>
      <w:r w:rsidRPr="00942374">
        <w:rPr>
          <w:color w:val="000000" w:themeColor="text1"/>
        </w:rPr>
        <w:t xml:space="preserve">, Z. Y., &amp; Baker, D. (Eds.), </w:t>
      </w:r>
      <w:r w:rsidRPr="00942374">
        <w:rPr>
          <w:i/>
          <w:color w:val="000000" w:themeColor="text1"/>
        </w:rPr>
        <w:lastRenderedPageBreak/>
        <w:t xml:space="preserve">Cognition, metacognition, and culture in STEM education: Learning, </w:t>
      </w:r>
      <w:proofErr w:type="gramStart"/>
      <w:r w:rsidRPr="00942374">
        <w:rPr>
          <w:i/>
          <w:color w:val="000000" w:themeColor="text1"/>
        </w:rPr>
        <w:t>teaching</w:t>
      </w:r>
      <w:proofErr w:type="gramEnd"/>
      <w:r w:rsidRPr="00942374">
        <w:rPr>
          <w:i/>
          <w:color w:val="000000" w:themeColor="text1"/>
        </w:rPr>
        <w:t xml:space="preserve"> and assessment</w:t>
      </w:r>
      <w:r w:rsidRPr="00942374">
        <w:rPr>
          <w:color w:val="000000" w:themeColor="text1"/>
        </w:rPr>
        <w:t xml:space="preserve"> (Innovations in science education and technology; v. 24), (pp. 279-305). </w:t>
      </w:r>
      <w:hyperlink r:id="rId27" w:history="1">
        <w:r w:rsidR="005C0546" w:rsidRPr="00942374">
          <w:rPr>
            <w:rStyle w:val="Hyperlink"/>
          </w:rPr>
          <w:t>https://doi.org/10.1007/978-3-319-66659-4_13</w:t>
        </w:r>
      </w:hyperlink>
    </w:p>
    <w:p w14:paraId="103D9A37" w14:textId="77777777" w:rsidR="005C0546" w:rsidRPr="00942374" w:rsidRDefault="005C0546" w:rsidP="00942374">
      <w:pPr>
        <w:spacing w:line="260" w:lineRule="exact"/>
        <w:ind w:left="482" w:hanging="482"/>
        <w:rPr>
          <w:color w:val="000000" w:themeColor="text1"/>
        </w:rPr>
      </w:pPr>
      <w:proofErr w:type="spellStart"/>
      <w:r w:rsidRPr="00942374">
        <w:rPr>
          <w:color w:val="000000" w:themeColor="text1"/>
        </w:rPr>
        <w:t>Kramarski</w:t>
      </w:r>
      <w:proofErr w:type="spellEnd"/>
      <w:r w:rsidRPr="00942374">
        <w:rPr>
          <w:color w:val="000000" w:themeColor="text1"/>
        </w:rPr>
        <w:t xml:space="preserve">, B., </w:t>
      </w:r>
      <w:proofErr w:type="spellStart"/>
      <w:r w:rsidRPr="00942374">
        <w:rPr>
          <w:color w:val="000000" w:themeColor="text1"/>
        </w:rPr>
        <w:t>Mevarech</w:t>
      </w:r>
      <w:proofErr w:type="spellEnd"/>
      <w:r w:rsidRPr="00942374">
        <w:rPr>
          <w:color w:val="000000" w:themeColor="text1"/>
        </w:rPr>
        <w:t xml:space="preserve">, Z. R., &amp; </w:t>
      </w:r>
      <w:proofErr w:type="spellStart"/>
      <w:r w:rsidRPr="00942374">
        <w:rPr>
          <w:color w:val="000000" w:themeColor="text1"/>
        </w:rPr>
        <w:t>Arami</w:t>
      </w:r>
      <w:proofErr w:type="spellEnd"/>
      <w:r w:rsidRPr="00942374">
        <w:rPr>
          <w:color w:val="000000" w:themeColor="text1"/>
        </w:rPr>
        <w:t>, M. (2002). The effects of metacognitive instruction on solving mathematical authentic tasks. Educational Studies in Mathematics, 49(2), 225-250. https://doi.org/10.1023/A:1016282811724</w:t>
      </w:r>
    </w:p>
    <w:p w14:paraId="1BA529DD" w14:textId="77777777" w:rsidR="00B1565D" w:rsidRPr="00942374" w:rsidRDefault="00B1565D" w:rsidP="00942374">
      <w:pPr>
        <w:spacing w:line="260" w:lineRule="exact"/>
        <w:ind w:left="482" w:hanging="482"/>
        <w:rPr>
          <w:rFonts w:eastAsia="Times New Roman"/>
          <w:color w:val="000000" w:themeColor="text1"/>
          <w:shd w:val="clear" w:color="auto" w:fill="FCFCFC"/>
        </w:rPr>
      </w:pPr>
      <w:r w:rsidRPr="00942374">
        <w:rPr>
          <w:color w:val="000000" w:themeColor="text1"/>
        </w:rPr>
        <w:t xml:space="preserve">Ku, K. Y. L, &amp; Ho, I. T. (2010). Metacognitive strategies that enhance critical thinking. </w:t>
      </w:r>
      <w:r w:rsidRPr="00942374">
        <w:rPr>
          <w:i/>
          <w:color w:val="000000" w:themeColor="text1"/>
        </w:rPr>
        <w:t>Metacognition and Learning, 5</w:t>
      </w:r>
      <w:r w:rsidRPr="00942374">
        <w:rPr>
          <w:color w:val="000000" w:themeColor="text1"/>
        </w:rPr>
        <w:t>(3), 251-267.</w:t>
      </w:r>
      <w:r w:rsidRPr="00942374">
        <w:rPr>
          <w:rFonts w:eastAsia="Times New Roman"/>
          <w:color w:val="000000" w:themeColor="text1"/>
          <w:shd w:val="clear" w:color="auto" w:fill="FCFCFC"/>
        </w:rPr>
        <w:t xml:space="preserve"> </w:t>
      </w:r>
      <w:hyperlink r:id="rId28" w:history="1">
        <w:r w:rsidRPr="00942374">
          <w:rPr>
            <w:rStyle w:val="Hyperlink"/>
            <w:rFonts w:eastAsia="Times New Roman"/>
            <w:color w:val="000000" w:themeColor="text1"/>
            <w:shd w:val="clear" w:color="auto" w:fill="FCFCFC"/>
          </w:rPr>
          <w:t>https://doi.org/10.1007/s11409-010-9060-6</w:t>
        </w:r>
      </w:hyperlink>
    </w:p>
    <w:p w14:paraId="075BF3C0" w14:textId="77777777" w:rsidR="00B1565D" w:rsidRPr="00942374" w:rsidRDefault="00B1565D" w:rsidP="00942374">
      <w:pPr>
        <w:spacing w:line="260" w:lineRule="exact"/>
        <w:ind w:left="482" w:hanging="482"/>
        <w:rPr>
          <w:color w:val="000000" w:themeColor="text1"/>
        </w:rPr>
      </w:pPr>
      <w:r w:rsidRPr="00942374">
        <w:rPr>
          <w:color w:val="000000" w:themeColor="text1"/>
        </w:rPr>
        <w:t xml:space="preserve">Lamb, P. (2015). Peer learning between pre-service teachers: embracing lesson study. </w:t>
      </w:r>
      <w:r w:rsidRPr="00942374">
        <w:rPr>
          <w:i/>
          <w:color w:val="000000" w:themeColor="text1"/>
        </w:rPr>
        <w:t>International Journal for Lesson and Learning Studies, 4</w:t>
      </w:r>
      <w:r w:rsidRPr="00942374">
        <w:rPr>
          <w:color w:val="000000" w:themeColor="text1"/>
        </w:rPr>
        <w:t xml:space="preserve">(4), 343-361. </w:t>
      </w:r>
      <w:hyperlink r:id="rId29" w:history="1">
        <w:r w:rsidRPr="00942374">
          <w:rPr>
            <w:rStyle w:val="Hyperlink"/>
          </w:rPr>
          <w:t>https://doi.org/10.1108/IJLLS-03-2015-0012</w:t>
        </w:r>
      </w:hyperlink>
    </w:p>
    <w:p w14:paraId="18A0F824" w14:textId="77777777" w:rsidR="00B1565D" w:rsidRPr="00942374" w:rsidRDefault="00B1565D" w:rsidP="00942374">
      <w:pPr>
        <w:spacing w:line="260" w:lineRule="exact"/>
        <w:ind w:left="482" w:hanging="482"/>
        <w:rPr>
          <w:color w:val="000000" w:themeColor="text1"/>
        </w:rPr>
      </w:pPr>
      <w:r w:rsidRPr="00942374">
        <w:rPr>
          <w:color w:val="000000" w:themeColor="text1"/>
        </w:rPr>
        <w:t xml:space="preserve">Lamb, P., &amp; Aldous, D. (2016). Exploring the relationship between reflexivity and reflective practice through lesson study within initial teacher education. </w:t>
      </w:r>
      <w:r w:rsidRPr="00942374">
        <w:rPr>
          <w:i/>
          <w:color w:val="000000" w:themeColor="text1"/>
        </w:rPr>
        <w:t>International Journal for Lesson and Learning Studies, 5</w:t>
      </w:r>
      <w:r w:rsidRPr="00942374">
        <w:rPr>
          <w:color w:val="000000" w:themeColor="text1"/>
        </w:rPr>
        <w:t>(2), 99-115. https://doi.org/10.1108/IJLLS-11-2015-0040</w:t>
      </w:r>
    </w:p>
    <w:p w14:paraId="56C7FD5C" w14:textId="77777777" w:rsidR="00B1565D" w:rsidRPr="00942374" w:rsidRDefault="00B1565D" w:rsidP="00942374">
      <w:pPr>
        <w:spacing w:line="260" w:lineRule="exact"/>
        <w:ind w:left="482" w:hanging="482"/>
        <w:rPr>
          <w:color w:val="000000" w:themeColor="text1"/>
        </w:rPr>
      </w:pPr>
      <w:r w:rsidRPr="00942374">
        <w:rPr>
          <w:color w:val="000000" w:themeColor="text1"/>
        </w:rPr>
        <w:t>Larson, B., &amp; Keiper, T. (2013). Instructional strategies for middle and high school (2nd ed.). Abingdon [England]: Routledge.</w:t>
      </w:r>
    </w:p>
    <w:p w14:paraId="7465B0C4" w14:textId="77777777" w:rsidR="00B1565D" w:rsidRPr="00942374" w:rsidRDefault="00B1565D" w:rsidP="00942374">
      <w:pPr>
        <w:spacing w:line="260" w:lineRule="exact"/>
        <w:ind w:left="482" w:hanging="482"/>
        <w:rPr>
          <w:rFonts w:eastAsia="Times New Roman"/>
          <w:color w:val="000000" w:themeColor="text1"/>
        </w:rPr>
      </w:pPr>
      <w:r w:rsidRPr="00942374">
        <w:rPr>
          <w:rFonts w:eastAsia="Times New Roman"/>
          <w:color w:val="000000" w:themeColor="text1"/>
        </w:rPr>
        <w:t xml:space="preserve">Laski, E. V. (2013). Portfolio Picks: An Approach for Developing Children's Metacognition. </w:t>
      </w:r>
      <w:r w:rsidRPr="00942374">
        <w:rPr>
          <w:rFonts w:eastAsia="Times New Roman"/>
          <w:i/>
          <w:color w:val="000000" w:themeColor="text1"/>
        </w:rPr>
        <w:t>YC Young Children 68</w:t>
      </w:r>
      <w:r w:rsidRPr="00942374">
        <w:rPr>
          <w:rFonts w:eastAsia="Times New Roman"/>
          <w:color w:val="000000" w:themeColor="text1"/>
        </w:rPr>
        <w:t>(3), 38-43.</w:t>
      </w:r>
    </w:p>
    <w:p w14:paraId="0A39DC58" w14:textId="77777777" w:rsidR="00B1565D" w:rsidRPr="00942374" w:rsidRDefault="00B1565D" w:rsidP="00942374">
      <w:pPr>
        <w:spacing w:line="260" w:lineRule="exact"/>
        <w:ind w:left="482" w:hanging="482"/>
        <w:rPr>
          <w:rFonts w:eastAsia="Times New Roman"/>
          <w:color w:val="000000" w:themeColor="text1"/>
        </w:rPr>
      </w:pPr>
      <w:r w:rsidRPr="00942374">
        <w:rPr>
          <w:rFonts w:eastAsia="Times New Roman"/>
          <w:color w:val="000000" w:themeColor="text1"/>
        </w:rPr>
        <w:t xml:space="preserve">Leavy, A.M. &amp; Hourigan, M. (2016). Using lesson study to support knowledge development in initial teacher education: Insights from early number classrooms. </w:t>
      </w:r>
      <w:r w:rsidRPr="00942374">
        <w:rPr>
          <w:rFonts w:eastAsia="Times New Roman"/>
          <w:i/>
          <w:color w:val="000000" w:themeColor="text1"/>
        </w:rPr>
        <w:t>Teaching and Teacher Education, 57</w:t>
      </w:r>
      <w:r w:rsidRPr="00942374">
        <w:rPr>
          <w:rFonts w:eastAsia="Times New Roman"/>
          <w:color w:val="000000" w:themeColor="text1"/>
        </w:rPr>
        <w:t xml:space="preserve">, 161-175. </w:t>
      </w:r>
      <w:hyperlink r:id="rId30" w:history="1">
        <w:r w:rsidRPr="00942374">
          <w:rPr>
            <w:rStyle w:val="Hyperlink"/>
            <w:rFonts w:eastAsia="Times New Roman"/>
          </w:rPr>
          <w:t>https://doi.org/10.1016/j.tate.2016.04.002</w:t>
        </w:r>
      </w:hyperlink>
    </w:p>
    <w:p w14:paraId="2C33EF8E" w14:textId="590FF11B" w:rsidR="00B1565D" w:rsidRPr="00942374" w:rsidRDefault="00B1565D" w:rsidP="00887B1D">
      <w:pPr>
        <w:spacing w:line="260" w:lineRule="exact"/>
        <w:ind w:left="964" w:hanging="964"/>
        <w:rPr>
          <w:color w:val="000000" w:themeColor="text1"/>
          <w:lang w:eastAsia="zh-TW"/>
        </w:rPr>
      </w:pPr>
      <w:r w:rsidRPr="00942374">
        <w:rPr>
          <w:color w:val="000000" w:themeColor="text1"/>
          <w:lang w:eastAsia="zh-TW"/>
        </w:rPr>
        <w:t>Likert, R. (1932). A technique f</w:t>
      </w:r>
      <w:r w:rsidR="00BB2339" w:rsidRPr="00942374">
        <w:rPr>
          <w:color w:val="000000" w:themeColor="text1"/>
          <w:lang w:eastAsia="zh-TW"/>
        </w:rPr>
        <w:t>or the measurement of attitudes.</w:t>
      </w:r>
      <w:r w:rsidRPr="00942374">
        <w:rPr>
          <w:color w:val="000000" w:themeColor="text1"/>
          <w:lang w:eastAsia="zh-TW"/>
        </w:rPr>
        <w:t xml:space="preserve"> </w:t>
      </w:r>
      <w:r w:rsidRPr="00942374">
        <w:rPr>
          <w:i/>
          <w:color w:val="000000" w:themeColor="text1"/>
          <w:lang w:eastAsia="zh-TW"/>
        </w:rPr>
        <w:t>Archives of Psychology, 22</w:t>
      </w:r>
      <w:r w:rsidRPr="00942374">
        <w:rPr>
          <w:color w:val="000000" w:themeColor="text1"/>
          <w:lang w:eastAsia="zh-TW"/>
        </w:rPr>
        <w:t>(140), 1-55.</w:t>
      </w:r>
      <w:r w:rsidRPr="00942374">
        <w:rPr>
          <w:rFonts w:ascii="MS Mincho" w:eastAsia="MS Mincho" w:hAnsi="MS Mincho" w:cs="MS Mincho"/>
          <w:color w:val="000000" w:themeColor="text1"/>
          <w:lang w:eastAsia="zh-TW"/>
        </w:rPr>
        <w:t> </w:t>
      </w:r>
    </w:p>
    <w:p w14:paraId="5F79ED88" w14:textId="77777777" w:rsidR="00B1565D" w:rsidRPr="00942374" w:rsidRDefault="00B1565D" w:rsidP="00942374">
      <w:pPr>
        <w:spacing w:line="260" w:lineRule="exact"/>
        <w:ind w:left="964" w:hanging="964"/>
        <w:rPr>
          <w:rFonts w:eastAsia="Times New Roman"/>
          <w:color w:val="000000" w:themeColor="text1"/>
        </w:rPr>
      </w:pPr>
      <w:r w:rsidRPr="00942374">
        <w:rPr>
          <w:rFonts w:eastAsia="Times New Roman"/>
          <w:color w:val="000000" w:themeColor="text1"/>
          <w:shd w:val="clear" w:color="auto" w:fill="FFFFFF"/>
        </w:rPr>
        <w:t xml:space="preserve">Livingston, J. A. (2003). </w:t>
      </w:r>
      <w:r w:rsidRPr="00942374">
        <w:rPr>
          <w:rFonts w:eastAsia="Times New Roman"/>
          <w:i/>
          <w:color w:val="000000" w:themeColor="text1"/>
          <w:shd w:val="clear" w:color="auto" w:fill="FFFFFF"/>
        </w:rPr>
        <w:t>Metacognition: An Overview</w:t>
      </w:r>
      <w:r w:rsidRPr="00942374">
        <w:rPr>
          <w:rFonts w:eastAsia="Times New Roman"/>
          <w:color w:val="000000" w:themeColor="text1"/>
          <w:shd w:val="clear" w:color="auto" w:fill="FFFFFF"/>
        </w:rPr>
        <w:t>. (</w:t>
      </w:r>
      <w:r w:rsidRPr="00942374">
        <w:rPr>
          <w:rFonts w:eastAsia="Times New Roman"/>
          <w:color w:val="000000" w:themeColor="text1"/>
        </w:rPr>
        <w:t>ED474273) ERIC.</w:t>
      </w:r>
    </w:p>
    <w:p w14:paraId="639A572A" w14:textId="77777777" w:rsidR="00B1565D" w:rsidRPr="00942374" w:rsidRDefault="00350505" w:rsidP="00942374">
      <w:pPr>
        <w:spacing w:line="260" w:lineRule="exact"/>
        <w:ind w:left="964" w:hanging="482"/>
        <w:rPr>
          <w:rFonts w:eastAsia="Times New Roman"/>
          <w:color w:val="000000" w:themeColor="text1"/>
          <w:shd w:val="clear" w:color="auto" w:fill="FFFFFF"/>
        </w:rPr>
      </w:pPr>
      <w:hyperlink r:id="rId31" w:history="1">
        <w:r w:rsidR="00B1565D" w:rsidRPr="00942374">
          <w:rPr>
            <w:rStyle w:val="Hyperlink"/>
            <w:rFonts w:eastAsia="Times New Roman"/>
            <w:shd w:val="clear" w:color="auto" w:fill="FFFFFF"/>
          </w:rPr>
          <w:t>https://files.eric.ed.gov/fulltext/ED474273.pdf</w:t>
        </w:r>
      </w:hyperlink>
    </w:p>
    <w:p w14:paraId="5CEE5713" w14:textId="77777777" w:rsidR="00B1565D" w:rsidRPr="00942374" w:rsidRDefault="00B1565D" w:rsidP="00942374">
      <w:pPr>
        <w:spacing w:line="260" w:lineRule="exact"/>
        <w:ind w:left="482" w:hanging="482"/>
        <w:rPr>
          <w:rFonts w:eastAsia="Times New Roman"/>
          <w:color w:val="000000" w:themeColor="text1"/>
        </w:rPr>
      </w:pPr>
      <w:r w:rsidRPr="00942374">
        <w:rPr>
          <w:rFonts w:eastAsia="Times New Roman"/>
          <w:color w:val="000000" w:themeColor="text1"/>
          <w:shd w:val="clear" w:color="auto" w:fill="FFFFFF"/>
        </w:rPr>
        <w:t xml:space="preserve">Liyanage, I. &amp; Bartlett, B. J. (2010). From autopsy to biopsy: A metacognitive view of lesson planning and teacher trainees in ELT. </w:t>
      </w:r>
      <w:r w:rsidRPr="00942374">
        <w:rPr>
          <w:rFonts w:eastAsia="Times New Roman"/>
          <w:i/>
          <w:color w:val="000000" w:themeColor="text1"/>
          <w:shd w:val="clear" w:color="auto" w:fill="FFFFFF"/>
        </w:rPr>
        <w:t>Teaching and Teacher Education, 26</w:t>
      </w:r>
      <w:r w:rsidRPr="00942374">
        <w:rPr>
          <w:rFonts w:eastAsia="Times New Roman"/>
          <w:color w:val="000000" w:themeColor="text1"/>
          <w:shd w:val="clear" w:color="auto" w:fill="FFFFFF"/>
        </w:rPr>
        <w:t xml:space="preserve">(7), 1362-1371. </w:t>
      </w:r>
      <w:hyperlink r:id="rId32" w:history="1">
        <w:r w:rsidRPr="00942374">
          <w:rPr>
            <w:rFonts w:eastAsia="Times New Roman"/>
            <w:color w:val="000000" w:themeColor="text1"/>
            <w:u w:val="single"/>
            <w:bdr w:val="none" w:sz="0" w:space="0" w:color="auto" w:frame="1"/>
          </w:rPr>
          <w:t>https://doi.org/10.1016/j.tate.2010.03.006</w:t>
        </w:r>
      </w:hyperlink>
    </w:p>
    <w:p w14:paraId="3E8F50BD" w14:textId="77777777" w:rsidR="00B1565D" w:rsidRPr="00942374" w:rsidRDefault="00B1565D" w:rsidP="00887B1D">
      <w:pPr>
        <w:spacing w:line="260" w:lineRule="exact"/>
        <w:ind w:left="482" w:hanging="482"/>
        <w:rPr>
          <w:color w:val="000000" w:themeColor="text1"/>
        </w:rPr>
      </w:pPr>
      <w:r w:rsidRPr="00942374">
        <w:rPr>
          <w:color w:val="000000" w:themeColor="text1"/>
        </w:rPr>
        <w:t xml:space="preserve">Lofthouse, R. M. &amp; Cowie, K., (2018). Joining the dots: Using lesson study to develop metacognitive teaching. </w:t>
      </w:r>
      <w:r w:rsidRPr="00942374">
        <w:rPr>
          <w:i/>
          <w:color w:val="000000" w:themeColor="text1"/>
        </w:rPr>
        <w:t>Impact: Journal of The Chartered College of Teaching, 3</w:t>
      </w:r>
      <w:r w:rsidRPr="00942374">
        <w:rPr>
          <w:color w:val="000000" w:themeColor="text1"/>
        </w:rPr>
        <w:t xml:space="preserve">. Retrieved from  </w:t>
      </w:r>
      <w:hyperlink r:id="rId33" w:history="1">
        <w:r w:rsidRPr="00942374">
          <w:rPr>
            <w:rStyle w:val="Hyperlink"/>
            <w:color w:val="000000" w:themeColor="text1"/>
          </w:rPr>
          <w:t>http://eprints.leedsbeckett.ac.uk/5264/1/JoiningtheDotsAM-LOFTHOUSE.pdf</w:t>
        </w:r>
      </w:hyperlink>
    </w:p>
    <w:p w14:paraId="1B193E86" w14:textId="77777777" w:rsidR="00B1565D" w:rsidRPr="00942374" w:rsidRDefault="00350505" w:rsidP="00942374">
      <w:pPr>
        <w:spacing w:line="260" w:lineRule="exact"/>
        <w:ind w:left="482" w:hanging="482"/>
        <w:rPr>
          <w:rFonts w:eastAsia="Times New Roman"/>
          <w:color w:val="000000" w:themeColor="text1"/>
        </w:rPr>
      </w:pPr>
      <w:hyperlink r:id="rId34" w:tooltip="Daniel Martin" w:history="1">
        <w:r w:rsidR="00B1565D" w:rsidRPr="00942374">
          <w:rPr>
            <w:rFonts w:eastAsia="Times New Roman"/>
            <w:color w:val="000000" w:themeColor="text1"/>
          </w:rPr>
          <w:t>Martin, D.</w:t>
        </w:r>
      </w:hyperlink>
      <w:r w:rsidR="00B1565D" w:rsidRPr="00942374">
        <w:rPr>
          <w:rFonts w:eastAsia="Times New Roman"/>
          <w:color w:val="000000" w:themeColor="text1"/>
          <w:shd w:val="clear" w:color="auto" w:fill="FFFFFF"/>
        </w:rPr>
        <w:t> and </w:t>
      </w:r>
      <w:hyperlink r:id="rId35" w:tooltip="Anne Clerc-Georgy" w:history="1">
        <w:r w:rsidR="00B1565D" w:rsidRPr="00942374">
          <w:rPr>
            <w:rFonts w:eastAsia="Times New Roman"/>
            <w:color w:val="000000" w:themeColor="text1"/>
          </w:rPr>
          <w:t>Clerc-Georgy, A.</w:t>
        </w:r>
      </w:hyperlink>
      <w:r w:rsidR="00B1565D" w:rsidRPr="00942374">
        <w:rPr>
          <w:rFonts w:eastAsia="Times New Roman"/>
          <w:color w:val="000000" w:themeColor="text1"/>
          <w:shd w:val="clear" w:color="auto" w:fill="FFFFFF"/>
        </w:rPr>
        <w:t> (2015), Use of theoretical concepts in lesson study: an example from teacher training</w:t>
      </w:r>
      <w:r w:rsidR="00B1565D" w:rsidRPr="00942374">
        <w:rPr>
          <w:rFonts w:eastAsia="Times New Roman"/>
          <w:i/>
          <w:color w:val="000000" w:themeColor="text1"/>
          <w:shd w:val="clear" w:color="auto" w:fill="FFFFFF"/>
        </w:rPr>
        <w:t>, </w:t>
      </w:r>
      <w:hyperlink r:id="rId36" w:history="1">
        <w:r w:rsidR="00B1565D" w:rsidRPr="00942374">
          <w:rPr>
            <w:rFonts w:eastAsia="Times New Roman"/>
            <w:i/>
            <w:color w:val="000000" w:themeColor="text1"/>
          </w:rPr>
          <w:t>International Journal for Lesson and Learning Studies</w:t>
        </w:r>
      </w:hyperlink>
      <w:r w:rsidR="00B1565D" w:rsidRPr="00942374">
        <w:rPr>
          <w:rFonts w:eastAsia="Times New Roman"/>
          <w:i/>
          <w:color w:val="000000" w:themeColor="text1"/>
          <w:shd w:val="clear" w:color="auto" w:fill="FFFFFF"/>
        </w:rPr>
        <w:t>, 4</w:t>
      </w:r>
      <w:r w:rsidR="00B1565D" w:rsidRPr="00942374">
        <w:rPr>
          <w:rFonts w:eastAsia="Times New Roman"/>
          <w:color w:val="000000" w:themeColor="text1"/>
          <w:shd w:val="clear" w:color="auto" w:fill="FFFFFF"/>
        </w:rPr>
        <w:t>(3), 261-273. </w:t>
      </w:r>
      <w:hyperlink r:id="rId37" w:tooltip="DOI: https://doi.org/10.1108/IJLLS-10-2014-0039" w:history="1">
        <w:r w:rsidR="00B1565D" w:rsidRPr="00942374">
          <w:rPr>
            <w:rFonts w:eastAsia="Times New Roman"/>
            <w:color w:val="000000" w:themeColor="text1"/>
          </w:rPr>
          <w:t>https://doi.org/10.1108/IJLLS-10-2014-0039</w:t>
        </w:r>
      </w:hyperlink>
    </w:p>
    <w:p w14:paraId="033CB86D" w14:textId="77777777" w:rsidR="00B1565D" w:rsidRPr="00942374" w:rsidRDefault="00B1565D" w:rsidP="00942374">
      <w:pPr>
        <w:spacing w:line="260" w:lineRule="exact"/>
        <w:ind w:left="482" w:hanging="482"/>
        <w:rPr>
          <w:rFonts w:eastAsiaTheme="majorEastAsia"/>
          <w:color w:val="000000" w:themeColor="text1"/>
        </w:rPr>
      </w:pPr>
      <w:r w:rsidRPr="00942374">
        <w:rPr>
          <w:rFonts w:eastAsiaTheme="majorEastAsia"/>
          <w:color w:val="000000" w:themeColor="text1"/>
        </w:rPr>
        <w:t xml:space="preserve">Meng, C. C., &amp; Sam, L. C. (2013). Developing pre-service teachers’ technological pedagogical content knowledge for teaching mathematics with the geometer’s sketchpad through Lesson Study. </w:t>
      </w:r>
      <w:r w:rsidRPr="00942374">
        <w:rPr>
          <w:rFonts w:eastAsiaTheme="majorEastAsia"/>
          <w:i/>
          <w:color w:val="000000" w:themeColor="text1"/>
        </w:rPr>
        <w:t>Journal of Education and Learning, 2</w:t>
      </w:r>
      <w:r w:rsidRPr="00942374">
        <w:rPr>
          <w:rFonts w:eastAsiaTheme="majorEastAsia"/>
          <w:color w:val="000000" w:themeColor="text1"/>
        </w:rPr>
        <w:t xml:space="preserve">(1), 1–8. </w:t>
      </w:r>
    </w:p>
    <w:p w14:paraId="3FE963C2" w14:textId="3E77FA26" w:rsidR="003E0574" w:rsidRDefault="003E0574" w:rsidP="00942374">
      <w:pPr>
        <w:spacing w:line="260" w:lineRule="exact"/>
        <w:ind w:left="482" w:hanging="482"/>
        <w:rPr>
          <w:rFonts w:eastAsia="Times New Roman"/>
          <w:color w:val="000000" w:themeColor="text1"/>
          <w:shd w:val="clear" w:color="auto" w:fill="FFFFFF"/>
        </w:rPr>
      </w:pPr>
      <w:r w:rsidRPr="003E0574">
        <w:rPr>
          <w:rFonts w:eastAsia="Times New Roman"/>
          <w:color w:val="000000" w:themeColor="text1"/>
          <w:shd w:val="clear" w:color="auto" w:fill="FFFFFF"/>
        </w:rPr>
        <w:t xml:space="preserve">Moghaddam, A., Arnold, C., Azam, S., Goodnough, K., </w:t>
      </w:r>
      <w:proofErr w:type="spellStart"/>
      <w:r w:rsidRPr="003E0574">
        <w:rPr>
          <w:rFonts w:eastAsia="Times New Roman"/>
          <w:color w:val="000000" w:themeColor="text1"/>
          <w:shd w:val="clear" w:color="auto" w:fill="FFFFFF"/>
        </w:rPr>
        <w:t>Maich</w:t>
      </w:r>
      <w:proofErr w:type="spellEnd"/>
      <w:r w:rsidRPr="003E0574">
        <w:rPr>
          <w:rFonts w:eastAsia="Times New Roman"/>
          <w:color w:val="000000" w:themeColor="text1"/>
          <w:shd w:val="clear" w:color="auto" w:fill="FFFFFF"/>
        </w:rPr>
        <w:t>, K., Penney, S. and Young, G. (2020), "Exploring lesson study in postsecondary education through self-study", International Journal for Lesson and Learning Studies, Vol. ahead-of-print No. ahead-of-print. https://doi.org/10.1108/IJLLS-05-2020-0025</w:t>
      </w:r>
    </w:p>
    <w:p w14:paraId="6A3CEA29" w14:textId="54D664E4" w:rsidR="00B1565D" w:rsidRPr="00942374" w:rsidRDefault="00B1565D" w:rsidP="00942374">
      <w:pPr>
        <w:spacing w:line="260" w:lineRule="exact"/>
        <w:ind w:left="482" w:hanging="482"/>
        <w:rPr>
          <w:rFonts w:eastAsia="Times New Roman"/>
          <w:color w:val="000000" w:themeColor="text1"/>
          <w:shd w:val="clear" w:color="auto" w:fill="FFFFFF"/>
        </w:rPr>
      </w:pPr>
      <w:proofErr w:type="spellStart"/>
      <w:r w:rsidRPr="00942374">
        <w:rPr>
          <w:rFonts w:eastAsia="Times New Roman"/>
          <w:color w:val="000000" w:themeColor="text1"/>
          <w:shd w:val="clear" w:color="auto" w:fill="FFFFFF"/>
        </w:rPr>
        <w:t>Mostofo</w:t>
      </w:r>
      <w:proofErr w:type="spellEnd"/>
      <w:r w:rsidRPr="00942374">
        <w:rPr>
          <w:rFonts w:eastAsia="Times New Roman"/>
          <w:color w:val="000000" w:themeColor="text1"/>
          <w:shd w:val="clear" w:color="auto" w:fill="FFFFFF"/>
        </w:rPr>
        <w:t xml:space="preserve">, J. (2014). The impact of using lesson study with pre-service mathematics teachers. </w:t>
      </w:r>
      <w:r w:rsidRPr="00942374">
        <w:rPr>
          <w:rFonts w:eastAsia="Times New Roman"/>
          <w:i/>
          <w:color w:val="000000" w:themeColor="text1"/>
          <w:shd w:val="clear" w:color="auto" w:fill="FFFFFF"/>
        </w:rPr>
        <w:t>Journal of Instructional Research, 3</w:t>
      </w:r>
      <w:r w:rsidRPr="00942374">
        <w:rPr>
          <w:rFonts w:eastAsia="Times New Roman"/>
          <w:color w:val="000000" w:themeColor="text1"/>
          <w:shd w:val="clear" w:color="auto" w:fill="FFFFFF"/>
        </w:rPr>
        <w:t xml:space="preserve">, 55-63. </w:t>
      </w:r>
    </w:p>
    <w:p w14:paraId="3F94AD37" w14:textId="77777777" w:rsidR="00B1565D" w:rsidRPr="00942374" w:rsidRDefault="00B1565D" w:rsidP="00942374">
      <w:pPr>
        <w:spacing w:line="260" w:lineRule="exact"/>
        <w:ind w:left="482" w:hanging="482"/>
        <w:rPr>
          <w:rFonts w:eastAsia="Times New Roman"/>
          <w:color w:val="000000" w:themeColor="text1"/>
        </w:rPr>
      </w:pPr>
      <w:proofErr w:type="spellStart"/>
      <w:r w:rsidRPr="00942374">
        <w:rPr>
          <w:rFonts w:eastAsia="Times New Roman"/>
          <w:color w:val="000000" w:themeColor="text1"/>
          <w:lang w:eastAsia="zh-TW"/>
        </w:rPr>
        <w:t>Munthe</w:t>
      </w:r>
      <w:proofErr w:type="spellEnd"/>
      <w:r w:rsidRPr="00942374">
        <w:rPr>
          <w:rFonts w:eastAsia="Times New Roman"/>
          <w:color w:val="000000" w:themeColor="text1"/>
          <w:lang w:eastAsia="zh-TW"/>
        </w:rPr>
        <w:t xml:space="preserve">, E., </w:t>
      </w:r>
      <w:proofErr w:type="spellStart"/>
      <w:r w:rsidRPr="00942374">
        <w:rPr>
          <w:rFonts w:eastAsia="Times New Roman"/>
          <w:color w:val="000000" w:themeColor="text1"/>
          <w:lang w:eastAsia="zh-TW"/>
        </w:rPr>
        <w:t>Bjuland</w:t>
      </w:r>
      <w:proofErr w:type="spellEnd"/>
      <w:r w:rsidRPr="00942374">
        <w:rPr>
          <w:rFonts w:eastAsia="Times New Roman"/>
          <w:color w:val="000000" w:themeColor="text1"/>
          <w:lang w:eastAsia="zh-TW"/>
        </w:rPr>
        <w:t xml:space="preserve">, R., &amp; </w:t>
      </w:r>
      <w:proofErr w:type="spellStart"/>
      <w:r w:rsidRPr="00942374">
        <w:rPr>
          <w:rFonts w:eastAsia="Times New Roman"/>
          <w:color w:val="000000" w:themeColor="text1"/>
          <w:lang w:eastAsia="zh-TW"/>
        </w:rPr>
        <w:t>Helgevold</w:t>
      </w:r>
      <w:proofErr w:type="spellEnd"/>
      <w:r w:rsidRPr="00942374">
        <w:rPr>
          <w:rFonts w:eastAsia="Times New Roman"/>
          <w:color w:val="000000" w:themeColor="text1"/>
          <w:lang w:eastAsia="zh-TW"/>
        </w:rPr>
        <w:t xml:space="preserve">, N. (2016). Lesson study in field practice: A time-lagged experiment in initial teacher education in Norway. </w:t>
      </w:r>
      <w:r w:rsidRPr="00942374">
        <w:rPr>
          <w:rFonts w:eastAsia="Times New Roman"/>
          <w:i/>
          <w:color w:val="000000" w:themeColor="text1"/>
          <w:lang w:eastAsia="zh-TW"/>
        </w:rPr>
        <w:t>International Journal for Lesson and Learning Studies, 5</w:t>
      </w:r>
      <w:r w:rsidRPr="00942374">
        <w:rPr>
          <w:rFonts w:eastAsia="Times New Roman"/>
          <w:color w:val="000000" w:themeColor="text1"/>
          <w:lang w:eastAsia="zh-TW"/>
        </w:rPr>
        <w:t xml:space="preserve">(2), 142-154. </w:t>
      </w:r>
      <w:hyperlink r:id="rId38" w:history="1">
        <w:r w:rsidRPr="00942374">
          <w:rPr>
            <w:rStyle w:val="Hyperlink"/>
            <w:rFonts w:eastAsia="Times New Roman"/>
            <w:color w:val="000000" w:themeColor="text1"/>
            <w:lang w:eastAsia="zh-TW"/>
          </w:rPr>
          <w:t>https://doi.org/</w:t>
        </w:r>
        <w:r w:rsidRPr="00942374">
          <w:rPr>
            <w:rStyle w:val="Hyperlink"/>
            <w:rFonts w:eastAsia="Times New Roman"/>
            <w:color w:val="000000" w:themeColor="text1"/>
          </w:rPr>
          <w:t>10.1108/IJLLS-12-2015-0047</w:t>
        </w:r>
      </w:hyperlink>
    </w:p>
    <w:p w14:paraId="45C5DD43" w14:textId="77777777" w:rsidR="00B1565D" w:rsidRPr="00942374" w:rsidRDefault="00B1565D" w:rsidP="00942374">
      <w:pPr>
        <w:spacing w:line="260" w:lineRule="exact"/>
        <w:ind w:left="482" w:hanging="482"/>
        <w:rPr>
          <w:rFonts w:eastAsia="Times New Roman"/>
          <w:color w:val="000000" w:themeColor="text1"/>
        </w:rPr>
      </w:pPr>
      <w:proofErr w:type="spellStart"/>
      <w:r w:rsidRPr="00942374">
        <w:rPr>
          <w:color w:val="000000" w:themeColor="text1"/>
        </w:rPr>
        <w:t>Pintrich</w:t>
      </w:r>
      <w:proofErr w:type="spellEnd"/>
      <w:r w:rsidRPr="00942374">
        <w:rPr>
          <w:color w:val="000000" w:themeColor="text1"/>
        </w:rPr>
        <w:t xml:space="preserve">, P. R. (2002). The role of metacognitive knowledge in learning, teaching, and assessing. </w:t>
      </w:r>
      <w:r w:rsidRPr="00942374">
        <w:rPr>
          <w:i/>
          <w:color w:val="000000" w:themeColor="text1"/>
        </w:rPr>
        <w:t xml:space="preserve">Theory </w:t>
      </w:r>
      <w:proofErr w:type="gramStart"/>
      <w:r w:rsidRPr="00942374">
        <w:rPr>
          <w:i/>
          <w:color w:val="000000" w:themeColor="text1"/>
        </w:rPr>
        <w:t>Into</w:t>
      </w:r>
      <w:proofErr w:type="gramEnd"/>
      <w:r w:rsidRPr="00942374">
        <w:rPr>
          <w:i/>
          <w:color w:val="000000" w:themeColor="text1"/>
        </w:rPr>
        <w:t xml:space="preserve"> Practice, 41</w:t>
      </w:r>
      <w:r w:rsidRPr="00942374">
        <w:rPr>
          <w:color w:val="000000" w:themeColor="text1"/>
        </w:rPr>
        <w:t xml:space="preserve">(4), 219-225. </w:t>
      </w:r>
      <w:hyperlink r:id="rId39" w:history="1">
        <w:r w:rsidRPr="00942374">
          <w:rPr>
            <w:color w:val="000000" w:themeColor="text1"/>
          </w:rPr>
          <w:t>https://doi.org/10.1207/s15430421tip4104_3</w:t>
        </w:r>
      </w:hyperlink>
    </w:p>
    <w:p w14:paraId="52C63BB7" w14:textId="77777777" w:rsidR="00B1565D" w:rsidRPr="00942374" w:rsidRDefault="00B1565D" w:rsidP="00942374">
      <w:pPr>
        <w:spacing w:line="260" w:lineRule="exact"/>
        <w:ind w:left="482" w:hanging="482"/>
        <w:rPr>
          <w:rFonts w:eastAsia="Times New Roman"/>
          <w:color w:val="000000" w:themeColor="text1"/>
          <w:shd w:val="clear" w:color="auto" w:fill="FFFFFF"/>
        </w:rPr>
      </w:pPr>
      <w:r w:rsidRPr="00942374">
        <w:rPr>
          <w:rFonts w:eastAsia="Times New Roman"/>
          <w:color w:val="000000" w:themeColor="text1"/>
          <w:shd w:val="clear" w:color="auto" w:fill="FFFFFF"/>
        </w:rPr>
        <w:t xml:space="preserve">Reeve, R. A., &amp; Brown, A. L. (1984). </w:t>
      </w:r>
      <w:r w:rsidRPr="00942374">
        <w:rPr>
          <w:rFonts w:eastAsia="Times New Roman"/>
          <w:i/>
          <w:color w:val="000000" w:themeColor="text1"/>
          <w:shd w:val="clear" w:color="auto" w:fill="FFFFFF"/>
        </w:rPr>
        <w:t>Metacognition reconsidered: implications for intervention research</w:t>
      </w:r>
      <w:r w:rsidRPr="00942374">
        <w:rPr>
          <w:rFonts w:eastAsia="Times New Roman"/>
          <w:color w:val="000000" w:themeColor="text1"/>
          <w:shd w:val="clear" w:color="auto" w:fill="FFFFFF"/>
        </w:rPr>
        <w:t xml:space="preserve">. (Technical report no. 328), University of Illinois at Urbana-Champaign, Illinois. Retrieved from </w:t>
      </w:r>
      <w:hyperlink r:id="rId40" w:history="1">
        <w:r w:rsidRPr="00942374">
          <w:rPr>
            <w:rStyle w:val="Hyperlink"/>
            <w:rFonts w:eastAsia="Times New Roman"/>
            <w:shd w:val="clear" w:color="auto" w:fill="FFFFFF"/>
          </w:rPr>
          <w:t>https://www.ideals.illinois.edu/bitstream/handle/2142/17676/ctrstreadtechrepv01984i00328_opt.pdf?sequence=1</w:t>
        </w:r>
      </w:hyperlink>
      <w:r w:rsidRPr="00942374">
        <w:rPr>
          <w:rFonts w:eastAsia="Times New Roman"/>
          <w:color w:val="000000" w:themeColor="text1"/>
          <w:shd w:val="clear" w:color="auto" w:fill="FFFFFF"/>
        </w:rPr>
        <w:t>.</w:t>
      </w:r>
    </w:p>
    <w:p w14:paraId="4F773AC7" w14:textId="77777777" w:rsidR="00B1565D" w:rsidRPr="00942374" w:rsidRDefault="00B1565D" w:rsidP="00942374">
      <w:pPr>
        <w:spacing w:line="260" w:lineRule="exact"/>
        <w:ind w:left="482" w:hanging="482"/>
        <w:rPr>
          <w:rStyle w:val="Hyperlink"/>
        </w:rPr>
      </w:pPr>
      <w:r w:rsidRPr="00942374">
        <w:rPr>
          <w:color w:val="000000" w:themeColor="text1"/>
        </w:rPr>
        <w:lastRenderedPageBreak/>
        <w:t xml:space="preserve">Saran R. (2018). Investigating the Impact of Lesson Study and Pedagogical Content Knowledge on Mathematics Teaching Practices of Minority Pre-Service Teachers. </w:t>
      </w:r>
      <w:r w:rsidRPr="00942374">
        <w:rPr>
          <w:i/>
          <w:color w:val="000000" w:themeColor="text1"/>
        </w:rPr>
        <w:t>Journal of Urban Learning, Teaching, and Research</w:t>
      </w:r>
      <w:r w:rsidRPr="00942374">
        <w:rPr>
          <w:color w:val="000000" w:themeColor="text1"/>
        </w:rPr>
        <w:t xml:space="preserve">, 14, 37-49. Retrieved from </w:t>
      </w:r>
      <w:hyperlink r:id="rId41" w:history="1">
        <w:r w:rsidRPr="00942374">
          <w:rPr>
            <w:rStyle w:val="Hyperlink"/>
          </w:rPr>
          <w:t>https://files.eric.ed.gov/fulltext/EJ1195955.pdf</w:t>
        </w:r>
      </w:hyperlink>
    </w:p>
    <w:p w14:paraId="02EFE8D7" w14:textId="77777777" w:rsidR="00B1565D" w:rsidRPr="00942374" w:rsidRDefault="00B1565D" w:rsidP="00942374">
      <w:pPr>
        <w:spacing w:line="260" w:lineRule="exact"/>
        <w:ind w:left="482" w:hanging="482"/>
        <w:rPr>
          <w:rFonts w:eastAsia="Times New Roman"/>
          <w:color w:val="000000" w:themeColor="text1"/>
        </w:rPr>
      </w:pPr>
      <w:r w:rsidRPr="00942374">
        <w:rPr>
          <w:color w:val="000000" w:themeColor="text1"/>
        </w:rPr>
        <w:t xml:space="preserve">Schneider, W., &amp; </w:t>
      </w:r>
      <w:proofErr w:type="spellStart"/>
      <w:r w:rsidRPr="00942374">
        <w:rPr>
          <w:color w:val="000000" w:themeColor="text1"/>
        </w:rPr>
        <w:t>Artelt</w:t>
      </w:r>
      <w:proofErr w:type="spellEnd"/>
      <w:r w:rsidRPr="00942374">
        <w:rPr>
          <w:color w:val="000000" w:themeColor="text1"/>
        </w:rPr>
        <w:t xml:space="preserve">, C. (2010). Metacognition and mathematics education. </w:t>
      </w:r>
      <w:r w:rsidRPr="00942374">
        <w:rPr>
          <w:i/>
          <w:color w:val="000000" w:themeColor="text1"/>
        </w:rPr>
        <w:t>ZDM, 42</w:t>
      </w:r>
      <w:r w:rsidRPr="00942374">
        <w:rPr>
          <w:color w:val="000000" w:themeColor="text1"/>
        </w:rPr>
        <w:t>(2), 149-161.</w:t>
      </w:r>
      <w:r w:rsidRPr="00942374">
        <w:rPr>
          <w:rFonts w:eastAsia="Times New Roman"/>
          <w:color w:val="000000" w:themeColor="text1"/>
        </w:rPr>
        <w:t xml:space="preserve"> </w:t>
      </w:r>
      <w:hyperlink r:id="rId42" w:history="1">
        <w:r w:rsidRPr="00942374">
          <w:rPr>
            <w:rStyle w:val="Hyperlink"/>
            <w:rFonts w:eastAsia="Times New Roman"/>
            <w:color w:val="000000" w:themeColor="text1"/>
          </w:rPr>
          <w:t>https://doi.org/10.1007/s11858-010-0240-2</w:t>
        </w:r>
      </w:hyperlink>
    </w:p>
    <w:p w14:paraId="48C44471" w14:textId="77777777" w:rsidR="00B1565D" w:rsidRPr="00942374" w:rsidRDefault="00B1565D" w:rsidP="00942374">
      <w:pPr>
        <w:spacing w:line="260" w:lineRule="exact"/>
        <w:rPr>
          <w:color w:val="000000" w:themeColor="text1"/>
        </w:rPr>
      </w:pPr>
    </w:p>
    <w:p w14:paraId="2C826FB5" w14:textId="77777777" w:rsidR="00B1565D" w:rsidRPr="00942374" w:rsidRDefault="00B1565D" w:rsidP="00942374">
      <w:pPr>
        <w:spacing w:line="260" w:lineRule="exact"/>
        <w:ind w:left="482" w:hanging="482"/>
        <w:rPr>
          <w:rFonts w:eastAsia="Times New Roman"/>
          <w:color w:val="000000" w:themeColor="text1"/>
        </w:rPr>
      </w:pPr>
      <w:r w:rsidRPr="00942374">
        <w:rPr>
          <w:color w:val="000000" w:themeColor="text1"/>
        </w:rPr>
        <w:t xml:space="preserve">Schraw, G., &amp; </w:t>
      </w:r>
      <w:proofErr w:type="spellStart"/>
      <w:r w:rsidRPr="00942374">
        <w:rPr>
          <w:color w:val="000000" w:themeColor="text1"/>
        </w:rPr>
        <w:t>Moshman</w:t>
      </w:r>
      <w:proofErr w:type="spellEnd"/>
      <w:r w:rsidRPr="00942374">
        <w:rPr>
          <w:color w:val="000000" w:themeColor="text1"/>
        </w:rPr>
        <w:t xml:space="preserve">, D. (1995). Metacognitive theories. </w:t>
      </w:r>
      <w:r w:rsidRPr="00942374">
        <w:rPr>
          <w:i/>
          <w:color w:val="000000" w:themeColor="text1"/>
        </w:rPr>
        <w:t>Educational Psychology Review, 7</w:t>
      </w:r>
      <w:r w:rsidRPr="00942374">
        <w:rPr>
          <w:color w:val="000000" w:themeColor="text1"/>
        </w:rPr>
        <w:t xml:space="preserve">(4), 351-371. </w:t>
      </w:r>
      <w:hyperlink r:id="rId43" w:history="1">
        <w:r w:rsidRPr="00942374">
          <w:rPr>
            <w:rStyle w:val="Hyperlink"/>
            <w:color w:val="000000" w:themeColor="text1"/>
          </w:rPr>
          <w:t>https://doi.org/</w:t>
        </w:r>
        <w:r w:rsidRPr="00942374">
          <w:rPr>
            <w:rStyle w:val="Hyperlink"/>
            <w:rFonts w:eastAsia="Times New Roman"/>
            <w:color w:val="000000" w:themeColor="text1"/>
          </w:rPr>
          <w:t>10.1007/bf02212307</w:t>
        </w:r>
      </w:hyperlink>
    </w:p>
    <w:p w14:paraId="73A29B6D" w14:textId="77777777" w:rsidR="00B1565D" w:rsidRPr="00942374" w:rsidRDefault="00B1565D" w:rsidP="00942374">
      <w:pPr>
        <w:spacing w:line="260" w:lineRule="exact"/>
        <w:ind w:left="482" w:hanging="482"/>
        <w:rPr>
          <w:rFonts w:eastAsia="Times New Roman"/>
          <w:color w:val="000000" w:themeColor="text1"/>
        </w:rPr>
      </w:pPr>
      <w:r w:rsidRPr="00942374">
        <w:rPr>
          <w:color w:val="000000" w:themeColor="text1"/>
        </w:rPr>
        <w:t xml:space="preserve">Schraw, G. (1998). Promoting general metacognitive awareness. </w:t>
      </w:r>
      <w:r w:rsidRPr="00942374">
        <w:rPr>
          <w:i/>
          <w:color w:val="000000" w:themeColor="text1"/>
        </w:rPr>
        <w:t>Instructional Science, 26</w:t>
      </w:r>
      <w:r w:rsidRPr="00942374">
        <w:rPr>
          <w:color w:val="000000" w:themeColor="text1"/>
        </w:rPr>
        <w:t xml:space="preserve">(1), 113-125. </w:t>
      </w:r>
      <w:hyperlink r:id="rId44" w:history="1">
        <w:r w:rsidRPr="00942374">
          <w:rPr>
            <w:rStyle w:val="Hyperlink"/>
            <w:color w:val="000000" w:themeColor="text1"/>
          </w:rPr>
          <w:t>https://doi.org/</w:t>
        </w:r>
        <w:r w:rsidRPr="00942374">
          <w:rPr>
            <w:rStyle w:val="Hyperlink"/>
            <w:rFonts w:eastAsia="Times New Roman"/>
            <w:color w:val="000000" w:themeColor="text1"/>
          </w:rPr>
          <w:t>10.1023/A:1003044231033</w:t>
        </w:r>
      </w:hyperlink>
    </w:p>
    <w:p w14:paraId="59702AB3" w14:textId="2ADDB839" w:rsidR="00B1565D" w:rsidRPr="00942374" w:rsidRDefault="00B1565D" w:rsidP="00942374">
      <w:pPr>
        <w:spacing w:line="260" w:lineRule="exact"/>
        <w:ind w:left="482" w:hanging="482"/>
        <w:rPr>
          <w:rFonts w:eastAsia="Times New Roman"/>
          <w:color w:val="000000" w:themeColor="text1"/>
          <w:shd w:val="clear" w:color="auto" w:fill="FFFFFF"/>
        </w:rPr>
      </w:pPr>
      <w:r w:rsidRPr="00942374">
        <w:rPr>
          <w:rFonts w:eastAsia="Times New Roman"/>
          <w:color w:val="000000" w:themeColor="text1"/>
          <w:shd w:val="clear" w:color="auto" w:fill="FFFFFF"/>
        </w:rPr>
        <w:t xml:space="preserve">Serra, M., &amp; Metcalfe J. (2009). Effective implementation of metacognition. In Hacker, D., </w:t>
      </w:r>
      <w:proofErr w:type="spellStart"/>
      <w:r w:rsidRPr="00942374">
        <w:rPr>
          <w:rFonts w:eastAsia="Times New Roman"/>
          <w:color w:val="000000" w:themeColor="text1"/>
          <w:shd w:val="clear" w:color="auto" w:fill="FFFFFF"/>
        </w:rPr>
        <w:t>Dunlosky</w:t>
      </w:r>
      <w:proofErr w:type="spellEnd"/>
      <w:r w:rsidRPr="00942374">
        <w:rPr>
          <w:rFonts w:eastAsia="Times New Roman"/>
          <w:color w:val="000000" w:themeColor="text1"/>
          <w:shd w:val="clear" w:color="auto" w:fill="FFFFFF"/>
        </w:rPr>
        <w:t xml:space="preserve">, J., &amp; </w:t>
      </w:r>
      <w:proofErr w:type="spellStart"/>
      <w:r w:rsidRPr="00942374">
        <w:rPr>
          <w:rFonts w:eastAsia="Times New Roman"/>
          <w:color w:val="000000" w:themeColor="text1"/>
          <w:shd w:val="clear" w:color="auto" w:fill="FFFFFF"/>
        </w:rPr>
        <w:t>Graesser</w:t>
      </w:r>
      <w:proofErr w:type="spellEnd"/>
      <w:r w:rsidRPr="00942374">
        <w:rPr>
          <w:rFonts w:eastAsia="Times New Roman"/>
          <w:color w:val="000000" w:themeColor="text1"/>
          <w:shd w:val="clear" w:color="auto" w:fill="FFFFFF"/>
        </w:rPr>
        <w:t xml:space="preserve"> (Eds.). </w:t>
      </w:r>
      <w:r w:rsidRPr="00942374">
        <w:rPr>
          <w:rFonts w:eastAsia="Times New Roman"/>
          <w:i/>
          <w:color w:val="000000" w:themeColor="text1"/>
          <w:shd w:val="clear" w:color="auto" w:fill="FFFFFF"/>
        </w:rPr>
        <w:t>Handbook of Metacognition in Education</w:t>
      </w:r>
      <w:r w:rsidRPr="00942374">
        <w:rPr>
          <w:rFonts w:eastAsia="Times New Roman"/>
          <w:color w:val="000000" w:themeColor="text1"/>
          <w:shd w:val="clear" w:color="auto" w:fill="FFFFFF"/>
        </w:rPr>
        <w:t xml:space="preserve"> (pp. 278-298). New York: Routledge.</w:t>
      </w:r>
      <w:r w:rsidR="005513E0" w:rsidRPr="00942374">
        <w:rPr>
          <w:rFonts w:eastAsia="Times New Roman"/>
          <w:color w:val="000000" w:themeColor="text1"/>
          <w:shd w:val="clear" w:color="auto" w:fill="FFFFFF"/>
        </w:rPr>
        <w:t xml:space="preserve"> </w:t>
      </w:r>
    </w:p>
    <w:p w14:paraId="7AEA8358" w14:textId="77777777" w:rsidR="001D7342" w:rsidRPr="00942374" w:rsidRDefault="001D7342" w:rsidP="00942374">
      <w:pPr>
        <w:spacing w:line="260" w:lineRule="exact"/>
        <w:ind w:left="482" w:hanging="482"/>
        <w:rPr>
          <w:color w:val="000000" w:themeColor="text1"/>
        </w:rPr>
      </w:pPr>
      <w:proofErr w:type="spellStart"/>
      <w:r w:rsidRPr="00942374">
        <w:rPr>
          <w:color w:val="000000" w:themeColor="text1"/>
        </w:rPr>
        <w:t>Soodla</w:t>
      </w:r>
      <w:proofErr w:type="spellEnd"/>
      <w:r w:rsidRPr="00942374">
        <w:rPr>
          <w:color w:val="000000" w:themeColor="text1"/>
        </w:rPr>
        <w:t xml:space="preserve">, P., </w:t>
      </w:r>
      <w:proofErr w:type="spellStart"/>
      <w:r w:rsidRPr="00942374">
        <w:rPr>
          <w:color w:val="000000" w:themeColor="text1"/>
        </w:rPr>
        <w:t>Jõgi</w:t>
      </w:r>
      <w:proofErr w:type="spellEnd"/>
      <w:r w:rsidRPr="00942374">
        <w:rPr>
          <w:color w:val="000000" w:themeColor="text1"/>
        </w:rPr>
        <w:t xml:space="preserve">, A. &amp; </w:t>
      </w:r>
      <w:proofErr w:type="spellStart"/>
      <w:r w:rsidRPr="00942374">
        <w:rPr>
          <w:color w:val="000000" w:themeColor="text1"/>
        </w:rPr>
        <w:t>Kikas</w:t>
      </w:r>
      <w:proofErr w:type="spellEnd"/>
      <w:r w:rsidRPr="00942374">
        <w:rPr>
          <w:color w:val="000000" w:themeColor="text1"/>
        </w:rPr>
        <w:t>, E. (2017). Relationships between teachers’ metacognitive knowledge and students’ metacognitive knowledge and reading achievement. </w:t>
      </w:r>
      <w:r w:rsidRPr="00942374">
        <w:rPr>
          <w:i/>
          <w:color w:val="000000" w:themeColor="text1"/>
        </w:rPr>
        <w:t xml:space="preserve">Eur J </w:t>
      </w:r>
      <w:proofErr w:type="spellStart"/>
      <w:r w:rsidRPr="00942374">
        <w:rPr>
          <w:i/>
          <w:color w:val="000000" w:themeColor="text1"/>
        </w:rPr>
        <w:t>Psychol</w:t>
      </w:r>
      <w:proofErr w:type="spellEnd"/>
      <w:r w:rsidRPr="00942374">
        <w:rPr>
          <w:i/>
          <w:color w:val="000000" w:themeColor="text1"/>
        </w:rPr>
        <w:t xml:space="preserve"> </w:t>
      </w:r>
      <w:proofErr w:type="spellStart"/>
      <w:r w:rsidRPr="00942374">
        <w:rPr>
          <w:i/>
          <w:color w:val="000000" w:themeColor="text1"/>
        </w:rPr>
        <w:t>Educ</w:t>
      </w:r>
      <w:proofErr w:type="spellEnd"/>
      <w:r w:rsidRPr="00942374">
        <w:rPr>
          <w:i/>
          <w:color w:val="000000" w:themeColor="text1"/>
        </w:rPr>
        <w:t xml:space="preserve"> 32</w:t>
      </w:r>
      <w:r w:rsidRPr="00942374">
        <w:rPr>
          <w:color w:val="000000" w:themeColor="text1"/>
        </w:rPr>
        <w:t>, 201–218. https://doi.org/10.1007/s10212-016-0293-x</w:t>
      </w:r>
    </w:p>
    <w:p w14:paraId="3D96A544" w14:textId="77777777" w:rsidR="00B1565D" w:rsidRPr="00942374" w:rsidRDefault="00B1565D" w:rsidP="00942374">
      <w:pPr>
        <w:spacing w:line="260" w:lineRule="exact"/>
        <w:ind w:left="482" w:hanging="482"/>
        <w:rPr>
          <w:rFonts w:eastAsia="Times New Roman"/>
          <w:color w:val="000000" w:themeColor="text1"/>
        </w:rPr>
      </w:pPr>
      <w:r w:rsidRPr="00942374">
        <w:rPr>
          <w:rFonts w:eastAsia="Times New Roman"/>
          <w:color w:val="000000" w:themeColor="text1"/>
        </w:rPr>
        <w:t xml:space="preserve">Susilo, H., </w:t>
      </w:r>
      <w:proofErr w:type="spellStart"/>
      <w:r w:rsidRPr="00942374">
        <w:rPr>
          <w:rFonts w:eastAsia="Times New Roman"/>
          <w:color w:val="000000" w:themeColor="text1"/>
        </w:rPr>
        <w:t>Sudrajat</w:t>
      </w:r>
      <w:proofErr w:type="spellEnd"/>
      <w:r w:rsidRPr="00942374">
        <w:rPr>
          <w:rFonts w:eastAsia="Times New Roman"/>
          <w:color w:val="000000" w:themeColor="text1"/>
        </w:rPr>
        <w:t xml:space="preserve">, A. K. &amp; </w:t>
      </w:r>
      <w:proofErr w:type="spellStart"/>
      <w:r w:rsidRPr="00942374">
        <w:rPr>
          <w:rFonts w:eastAsia="Times New Roman"/>
          <w:color w:val="000000" w:themeColor="text1"/>
        </w:rPr>
        <w:t>Indriwati</w:t>
      </w:r>
      <w:proofErr w:type="spellEnd"/>
      <w:r w:rsidRPr="00942374">
        <w:rPr>
          <w:rFonts w:eastAsia="Times New Roman"/>
          <w:color w:val="000000" w:themeColor="text1"/>
        </w:rPr>
        <w:t xml:space="preserve">, S. E., (2018). Using lesson study for capability development of undergraduate biology education students. </w:t>
      </w:r>
      <w:r w:rsidRPr="00942374">
        <w:rPr>
          <w:rFonts w:eastAsia="Times New Roman"/>
          <w:i/>
          <w:color w:val="000000" w:themeColor="text1"/>
        </w:rPr>
        <w:t>Proceedings of the 2nd International Conference on Learning Innovation, Malang, Indonesia, (</w:t>
      </w:r>
      <w:proofErr w:type="gramStart"/>
      <w:r w:rsidRPr="00942374">
        <w:rPr>
          <w:rFonts w:eastAsia="Times New Roman"/>
          <w:i/>
          <w:color w:val="000000" w:themeColor="text1"/>
        </w:rPr>
        <w:t>1)</w:t>
      </w:r>
      <w:r w:rsidRPr="00942374">
        <w:rPr>
          <w:rFonts w:eastAsia="Times New Roman"/>
          <w:color w:val="000000" w:themeColor="text1"/>
        </w:rPr>
        <w:t>ICLI</w:t>
      </w:r>
      <w:proofErr w:type="gramEnd"/>
      <w:r w:rsidRPr="00942374">
        <w:rPr>
          <w:rFonts w:eastAsia="Times New Roman"/>
          <w:color w:val="000000" w:themeColor="text1"/>
        </w:rPr>
        <w:t>,</w:t>
      </w:r>
      <w:r w:rsidRPr="00942374">
        <w:rPr>
          <w:rStyle w:val="apple-converted-space"/>
          <w:rFonts w:eastAsia="Times New Roman"/>
          <w:color w:val="000000" w:themeColor="text1"/>
          <w:shd w:val="clear" w:color="auto" w:fill="FAFAFA"/>
        </w:rPr>
        <w:t> </w:t>
      </w:r>
      <w:r w:rsidRPr="00942374">
        <w:rPr>
          <w:rStyle w:val="publicationsdetailnormal"/>
          <w:rFonts w:eastAsia="Times New Roman"/>
          <w:color w:val="000000" w:themeColor="text1"/>
        </w:rPr>
        <w:t>136-144.</w:t>
      </w:r>
      <w:r w:rsidRPr="00942374">
        <w:rPr>
          <w:rFonts w:eastAsia="Times New Roman"/>
          <w:color w:val="000000" w:themeColor="text1"/>
        </w:rPr>
        <w:t xml:space="preserve"> </w:t>
      </w:r>
      <w:hyperlink r:id="rId45" w:history="1">
        <w:r w:rsidRPr="00942374">
          <w:rPr>
            <w:rStyle w:val="Hyperlink"/>
            <w:rFonts w:eastAsia="Times New Roman"/>
            <w:color w:val="000000" w:themeColor="text1"/>
          </w:rPr>
          <w:t>https://doi.org/10.5220/0008409001360144</w:t>
        </w:r>
      </w:hyperlink>
    </w:p>
    <w:p w14:paraId="0979F32D" w14:textId="17129FE0" w:rsidR="00B1565D" w:rsidRPr="00942374" w:rsidRDefault="00B1565D" w:rsidP="00942374">
      <w:pPr>
        <w:spacing w:line="260" w:lineRule="exact"/>
        <w:ind w:left="482" w:hanging="482"/>
        <w:rPr>
          <w:rFonts w:eastAsia="Times New Roman"/>
          <w:color w:val="000000" w:themeColor="text1"/>
        </w:rPr>
      </w:pPr>
      <w:r w:rsidRPr="00942374">
        <w:rPr>
          <w:color w:val="000000" w:themeColor="text1"/>
        </w:rPr>
        <w:t>T</w:t>
      </w:r>
      <w:r w:rsidR="00BB2339" w:rsidRPr="00942374">
        <w:rPr>
          <w:color w:val="000000" w:themeColor="text1"/>
        </w:rPr>
        <w:t>anner, K. D. (2012). Promoting student m</w:t>
      </w:r>
      <w:r w:rsidRPr="00942374">
        <w:rPr>
          <w:color w:val="000000" w:themeColor="text1"/>
        </w:rPr>
        <w:t xml:space="preserve">etacognition. </w:t>
      </w:r>
      <w:r w:rsidRPr="00942374">
        <w:rPr>
          <w:i/>
          <w:color w:val="000000" w:themeColor="text1"/>
        </w:rPr>
        <w:t>CBE -Life Sciences Education, 11</w:t>
      </w:r>
      <w:r w:rsidRPr="00942374">
        <w:rPr>
          <w:color w:val="000000" w:themeColor="text1"/>
        </w:rPr>
        <w:t xml:space="preserve">(2), 113-120. </w:t>
      </w:r>
      <w:hyperlink r:id="rId46" w:history="1">
        <w:r w:rsidRPr="00942374">
          <w:rPr>
            <w:rStyle w:val="Hyperlink"/>
            <w:rFonts w:eastAsia="Times New Roman"/>
            <w:color w:val="000000" w:themeColor="text1"/>
          </w:rPr>
          <w:t>https://doi.org/10.1187/cbe.12-03-0033</w:t>
        </w:r>
      </w:hyperlink>
    </w:p>
    <w:p w14:paraId="434B2155" w14:textId="35B9F7F8" w:rsidR="005C2A17" w:rsidRPr="00942374" w:rsidRDefault="005C2A17" w:rsidP="00942374">
      <w:pPr>
        <w:spacing w:line="260" w:lineRule="exact"/>
        <w:ind w:left="482" w:hanging="482"/>
        <w:rPr>
          <w:color w:val="000000" w:themeColor="text1"/>
        </w:rPr>
      </w:pPr>
      <w:r w:rsidRPr="00942374">
        <w:rPr>
          <w:color w:val="000000" w:themeColor="text1"/>
        </w:rPr>
        <w:t xml:space="preserve">Van der </w:t>
      </w:r>
      <w:proofErr w:type="spellStart"/>
      <w:r w:rsidRPr="00942374">
        <w:rPr>
          <w:color w:val="000000" w:themeColor="text1"/>
        </w:rPr>
        <w:t>Stel</w:t>
      </w:r>
      <w:proofErr w:type="spellEnd"/>
      <w:r w:rsidRPr="00942374">
        <w:rPr>
          <w:color w:val="000000" w:themeColor="text1"/>
        </w:rPr>
        <w:t xml:space="preserve">, M., </w:t>
      </w:r>
      <w:proofErr w:type="spellStart"/>
      <w:r w:rsidRPr="00942374">
        <w:rPr>
          <w:color w:val="000000" w:themeColor="text1"/>
        </w:rPr>
        <w:t>Veenman</w:t>
      </w:r>
      <w:proofErr w:type="spellEnd"/>
      <w:r w:rsidRPr="00942374">
        <w:rPr>
          <w:color w:val="000000" w:themeColor="text1"/>
        </w:rPr>
        <w:t>, M. V. J.</w:t>
      </w:r>
      <w:r w:rsidR="00C81A0A" w:rsidRPr="00942374">
        <w:rPr>
          <w:color w:val="000000" w:themeColor="text1"/>
        </w:rPr>
        <w:t xml:space="preserve"> </w:t>
      </w:r>
      <w:r w:rsidRPr="00942374">
        <w:rPr>
          <w:color w:val="000000" w:themeColor="text1"/>
        </w:rPr>
        <w:t>(2014). Metacognitive skills and intellectual ability of young adolescents: a longitudinal study from a developmental perspective. </w:t>
      </w:r>
      <w:r w:rsidRPr="00942374">
        <w:rPr>
          <w:i/>
          <w:color w:val="000000" w:themeColor="text1"/>
        </w:rPr>
        <w:t xml:space="preserve">Eur J </w:t>
      </w:r>
      <w:proofErr w:type="spellStart"/>
      <w:r w:rsidRPr="00942374">
        <w:rPr>
          <w:i/>
          <w:color w:val="000000" w:themeColor="text1"/>
        </w:rPr>
        <w:t>Psychol</w:t>
      </w:r>
      <w:proofErr w:type="spellEnd"/>
      <w:r w:rsidRPr="00942374">
        <w:rPr>
          <w:i/>
          <w:color w:val="000000" w:themeColor="text1"/>
        </w:rPr>
        <w:t xml:space="preserve"> </w:t>
      </w:r>
      <w:proofErr w:type="spellStart"/>
      <w:r w:rsidRPr="00942374">
        <w:rPr>
          <w:i/>
          <w:color w:val="000000" w:themeColor="text1"/>
        </w:rPr>
        <w:t>Educ</w:t>
      </w:r>
      <w:proofErr w:type="spellEnd"/>
      <w:r w:rsidRPr="00942374">
        <w:rPr>
          <w:i/>
          <w:color w:val="000000" w:themeColor="text1"/>
        </w:rPr>
        <w:t> 29</w:t>
      </w:r>
      <w:r w:rsidRPr="00942374">
        <w:rPr>
          <w:color w:val="000000" w:themeColor="text1"/>
        </w:rPr>
        <w:t xml:space="preserve">, 117–137. </w:t>
      </w:r>
      <w:hyperlink r:id="rId47" w:history="1">
        <w:r w:rsidRPr="00942374">
          <w:rPr>
            <w:rStyle w:val="Hyperlink"/>
          </w:rPr>
          <w:t>https://doi.org/10.1007/s10212-013-0190-5</w:t>
        </w:r>
      </w:hyperlink>
    </w:p>
    <w:p w14:paraId="19A50E47" w14:textId="77777777" w:rsidR="00B1565D" w:rsidRPr="00942374" w:rsidRDefault="00B1565D" w:rsidP="00942374">
      <w:pPr>
        <w:spacing w:line="260" w:lineRule="exact"/>
        <w:ind w:left="482" w:hanging="482"/>
        <w:rPr>
          <w:rFonts w:eastAsia="Times New Roman"/>
          <w:color w:val="000000" w:themeColor="text1"/>
        </w:rPr>
      </w:pPr>
      <w:proofErr w:type="spellStart"/>
      <w:r w:rsidRPr="00942374">
        <w:rPr>
          <w:color w:val="000000" w:themeColor="text1"/>
        </w:rPr>
        <w:t>Veenman</w:t>
      </w:r>
      <w:proofErr w:type="spellEnd"/>
      <w:r w:rsidRPr="00942374">
        <w:rPr>
          <w:color w:val="000000" w:themeColor="text1"/>
        </w:rPr>
        <w:t xml:space="preserve">, M. V. J., Van </w:t>
      </w:r>
      <w:proofErr w:type="spellStart"/>
      <w:r w:rsidRPr="00942374">
        <w:rPr>
          <w:color w:val="000000" w:themeColor="text1"/>
        </w:rPr>
        <w:t>Hout</w:t>
      </w:r>
      <w:proofErr w:type="spellEnd"/>
      <w:r w:rsidRPr="00942374">
        <w:rPr>
          <w:color w:val="000000" w:themeColor="text1"/>
        </w:rPr>
        <w:t xml:space="preserve">-Wolters, B. H. A. M., &amp; </w:t>
      </w:r>
      <w:proofErr w:type="spellStart"/>
      <w:r w:rsidRPr="00942374">
        <w:rPr>
          <w:color w:val="000000" w:themeColor="text1"/>
        </w:rPr>
        <w:t>Afflerbach</w:t>
      </w:r>
      <w:proofErr w:type="spellEnd"/>
      <w:r w:rsidRPr="00942374">
        <w:rPr>
          <w:color w:val="000000" w:themeColor="text1"/>
        </w:rPr>
        <w:t xml:space="preserve">, P. (2006). Metacognition and learning: Conceptual and methodological considerations. </w:t>
      </w:r>
      <w:r w:rsidRPr="00942374">
        <w:rPr>
          <w:i/>
          <w:color w:val="000000" w:themeColor="text1"/>
        </w:rPr>
        <w:t>Metacognition and Learning, 1</w:t>
      </w:r>
      <w:r w:rsidRPr="00942374">
        <w:rPr>
          <w:color w:val="000000" w:themeColor="text1"/>
        </w:rPr>
        <w:t>(1), 3-14.</w:t>
      </w:r>
      <w:r w:rsidRPr="00942374">
        <w:rPr>
          <w:rFonts w:eastAsia="Times New Roman"/>
          <w:color w:val="000000" w:themeColor="text1"/>
        </w:rPr>
        <w:t xml:space="preserve"> </w:t>
      </w:r>
      <w:hyperlink r:id="rId48" w:history="1">
        <w:r w:rsidRPr="00942374">
          <w:rPr>
            <w:rStyle w:val="Hyperlink"/>
            <w:rFonts w:eastAsia="Times New Roman"/>
            <w:color w:val="000000" w:themeColor="text1"/>
          </w:rPr>
          <w:t>https://doi.org/10.1007/s11409-006-6893-0</w:t>
        </w:r>
      </w:hyperlink>
    </w:p>
    <w:p w14:paraId="655BBE63" w14:textId="77777777" w:rsidR="00B1565D" w:rsidRPr="00942374" w:rsidRDefault="00B1565D" w:rsidP="00942374">
      <w:pPr>
        <w:spacing w:line="260" w:lineRule="exact"/>
        <w:ind w:left="482" w:hanging="482"/>
        <w:rPr>
          <w:rFonts w:eastAsia="Times New Roman"/>
          <w:color w:val="000000" w:themeColor="text1"/>
        </w:rPr>
      </w:pPr>
      <w:proofErr w:type="spellStart"/>
      <w:r w:rsidRPr="00942374">
        <w:rPr>
          <w:color w:val="000000" w:themeColor="text1"/>
        </w:rPr>
        <w:t>Whitebread</w:t>
      </w:r>
      <w:proofErr w:type="spellEnd"/>
      <w:r w:rsidRPr="00942374">
        <w:rPr>
          <w:color w:val="000000" w:themeColor="text1"/>
        </w:rPr>
        <w:t xml:space="preserve">, D., </w:t>
      </w:r>
      <w:proofErr w:type="spellStart"/>
      <w:r w:rsidRPr="00942374">
        <w:rPr>
          <w:color w:val="000000" w:themeColor="text1"/>
        </w:rPr>
        <w:t>Coltman</w:t>
      </w:r>
      <w:proofErr w:type="spellEnd"/>
      <w:r w:rsidRPr="00942374">
        <w:rPr>
          <w:color w:val="000000" w:themeColor="text1"/>
        </w:rPr>
        <w:t xml:space="preserve">, P., Pasternak, D. P., Sangster, C., Grau, V., Bingham, S., </w:t>
      </w:r>
      <w:proofErr w:type="spellStart"/>
      <w:r w:rsidRPr="00942374">
        <w:rPr>
          <w:color w:val="000000" w:themeColor="text1"/>
        </w:rPr>
        <w:t>Almegdad</w:t>
      </w:r>
      <w:proofErr w:type="spellEnd"/>
      <w:r w:rsidRPr="00942374">
        <w:rPr>
          <w:color w:val="000000" w:themeColor="text1"/>
        </w:rPr>
        <w:t xml:space="preserve">, Q., Demetriou, D. (2008). The development of two observational tools for assessing metacognition and self-regulated learning in young children. </w:t>
      </w:r>
      <w:r w:rsidRPr="00942374">
        <w:rPr>
          <w:i/>
          <w:color w:val="000000" w:themeColor="text1"/>
        </w:rPr>
        <w:t>Metacognition and Learning, 4</w:t>
      </w:r>
      <w:r w:rsidRPr="00942374">
        <w:rPr>
          <w:color w:val="000000" w:themeColor="text1"/>
        </w:rPr>
        <w:t>(1), 63-85.</w:t>
      </w:r>
      <w:r w:rsidRPr="00942374">
        <w:rPr>
          <w:rFonts w:eastAsia="Times New Roman"/>
          <w:color w:val="000000" w:themeColor="text1"/>
        </w:rPr>
        <w:t xml:space="preserve"> https://doi.org/10.1007/s11409-008-9033-1</w:t>
      </w:r>
    </w:p>
    <w:p w14:paraId="26AA01A9" w14:textId="12D74C2C" w:rsidR="00B1565D" w:rsidRPr="00942374" w:rsidRDefault="00B1565D" w:rsidP="00942374">
      <w:pPr>
        <w:spacing w:line="260" w:lineRule="exact"/>
        <w:ind w:left="482" w:hanging="482"/>
        <w:rPr>
          <w:rFonts w:eastAsiaTheme="majorEastAsia"/>
          <w:color w:val="000000" w:themeColor="text1"/>
        </w:rPr>
      </w:pPr>
      <w:r w:rsidRPr="00942374">
        <w:rPr>
          <w:rFonts w:eastAsiaTheme="majorEastAsia"/>
          <w:color w:val="000000" w:themeColor="text1"/>
        </w:rPr>
        <w:t>Young, A., &amp; Fry, J</w:t>
      </w:r>
      <w:r w:rsidR="00BB2339" w:rsidRPr="00942374">
        <w:rPr>
          <w:rFonts w:eastAsiaTheme="majorEastAsia"/>
          <w:color w:val="000000" w:themeColor="text1"/>
        </w:rPr>
        <w:t>. (2008). Metacognitive awareness and academic a</w:t>
      </w:r>
      <w:r w:rsidRPr="00942374">
        <w:rPr>
          <w:rFonts w:eastAsiaTheme="majorEastAsia"/>
          <w:color w:val="000000" w:themeColor="text1"/>
        </w:rPr>
        <w:t xml:space="preserve">chievement in College Students. </w:t>
      </w:r>
      <w:r w:rsidRPr="00942374">
        <w:rPr>
          <w:rFonts w:eastAsiaTheme="majorEastAsia"/>
          <w:i/>
          <w:color w:val="000000" w:themeColor="text1"/>
        </w:rPr>
        <w:t>The Journal of Scholarship of Teaching and Learning, 8</w:t>
      </w:r>
      <w:r w:rsidRPr="00942374">
        <w:rPr>
          <w:rFonts w:eastAsiaTheme="majorEastAsia"/>
          <w:color w:val="000000" w:themeColor="text1"/>
        </w:rPr>
        <w:t>(2), 1-10.</w:t>
      </w:r>
    </w:p>
    <w:p w14:paraId="3B7EA3A6" w14:textId="1C38CA52" w:rsidR="00B1565D" w:rsidRPr="00942374" w:rsidRDefault="00B1565D" w:rsidP="00942374">
      <w:pPr>
        <w:spacing w:line="260" w:lineRule="exact"/>
        <w:ind w:left="482" w:hanging="482"/>
        <w:rPr>
          <w:rFonts w:eastAsia="Times New Roman"/>
          <w:color w:val="000000" w:themeColor="text1"/>
        </w:rPr>
      </w:pPr>
      <w:r w:rsidRPr="00942374">
        <w:rPr>
          <w:rFonts w:eastAsia="Times New Roman"/>
          <w:color w:val="000000" w:themeColor="text1"/>
          <w:shd w:val="clear" w:color="auto" w:fill="FFFFFF"/>
        </w:rPr>
        <w:t xml:space="preserve">Zhou, G., Xu, J., &amp; Martinovic, </w:t>
      </w:r>
      <w:r w:rsidR="00BB2339" w:rsidRPr="00942374">
        <w:rPr>
          <w:rFonts w:eastAsia="Times New Roman"/>
          <w:color w:val="000000" w:themeColor="text1"/>
          <w:shd w:val="clear" w:color="auto" w:fill="FFFFFF"/>
        </w:rPr>
        <w:t>D. (2017). Developing pre-service teachers’ Capacity in teaching science with technology through microteaching lesson study a</w:t>
      </w:r>
      <w:r w:rsidRPr="00942374">
        <w:rPr>
          <w:rFonts w:eastAsia="Times New Roman"/>
          <w:color w:val="000000" w:themeColor="text1"/>
          <w:shd w:val="clear" w:color="auto" w:fill="FFFFFF"/>
        </w:rPr>
        <w:t>pproach.</w:t>
      </w:r>
      <w:r w:rsidRPr="00942374">
        <w:rPr>
          <w:rStyle w:val="apple-converted-space"/>
          <w:rFonts w:eastAsia="Times New Roman"/>
          <w:color w:val="000000" w:themeColor="text1"/>
          <w:shd w:val="clear" w:color="auto" w:fill="FFFFFF"/>
        </w:rPr>
        <w:t> </w:t>
      </w:r>
      <w:r w:rsidRPr="00942374">
        <w:rPr>
          <w:rFonts w:eastAsia="Times New Roman"/>
          <w:i/>
          <w:color w:val="000000" w:themeColor="text1"/>
        </w:rPr>
        <w:t>Eurasia Journal of Mathematics, Science and Technology Education, 13</w:t>
      </w:r>
      <w:r w:rsidRPr="00942374">
        <w:rPr>
          <w:rFonts w:eastAsia="Times New Roman"/>
          <w:color w:val="000000" w:themeColor="text1"/>
          <w:shd w:val="clear" w:color="auto" w:fill="FFFFFF"/>
        </w:rPr>
        <w:t>(1), 85-103.</w:t>
      </w:r>
      <w:r w:rsidRPr="00942374">
        <w:rPr>
          <w:rStyle w:val="apple-converted-space"/>
          <w:rFonts w:eastAsia="Times New Roman"/>
          <w:color w:val="000000" w:themeColor="text1"/>
          <w:shd w:val="clear" w:color="auto" w:fill="FFFFFF"/>
        </w:rPr>
        <w:t> </w:t>
      </w:r>
      <w:hyperlink r:id="rId49" w:history="1">
        <w:r w:rsidRPr="00942374">
          <w:rPr>
            <w:rStyle w:val="Hyperlink"/>
            <w:rFonts w:eastAsia="Times New Roman"/>
            <w:color w:val="000000" w:themeColor="text1"/>
          </w:rPr>
          <w:t>https://doi.org/10.12973/eurasia.2017.00605a</w:t>
        </w:r>
      </w:hyperlink>
    </w:p>
    <w:p w14:paraId="65B10B53" w14:textId="08DB55E4" w:rsidR="00B1565D" w:rsidRPr="00942374" w:rsidRDefault="00DE5866" w:rsidP="00942374">
      <w:pPr>
        <w:spacing w:line="260" w:lineRule="exact"/>
        <w:ind w:left="482" w:hanging="482"/>
        <w:rPr>
          <w:color w:val="000000" w:themeColor="text1"/>
        </w:rPr>
      </w:pPr>
      <w:r w:rsidRPr="00942374">
        <w:rPr>
          <w:color w:val="000000" w:themeColor="text1"/>
        </w:rPr>
        <w:t>Wall, K., &amp; Hall, E. (2016). Teachers as metacognitive role models, </w:t>
      </w:r>
      <w:r w:rsidRPr="00942374">
        <w:rPr>
          <w:i/>
          <w:color w:val="000000" w:themeColor="text1"/>
        </w:rPr>
        <w:t>European Journal of Teacher Education, 39</w:t>
      </w:r>
      <w:r w:rsidRPr="00942374">
        <w:rPr>
          <w:color w:val="000000" w:themeColor="text1"/>
        </w:rPr>
        <w:t>(4), 403-418. http://doi.org/</w:t>
      </w:r>
      <w:hyperlink r:id="rId50" w:history="1">
        <w:r w:rsidRPr="00942374">
          <w:rPr>
            <w:color w:val="000000" w:themeColor="text1"/>
          </w:rPr>
          <w:t>10.1080/02619768.2016.1212834</w:t>
        </w:r>
      </w:hyperlink>
    </w:p>
    <w:p w14:paraId="540C5A60" w14:textId="77777777" w:rsidR="00B1565D" w:rsidRPr="00942374" w:rsidRDefault="00B1565D" w:rsidP="00B1565D"/>
    <w:p w14:paraId="789A721B" w14:textId="77777777" w:rsidR="00883230" w:rsidRPr="00942374" w:rsidRDefault="00883230" w:rsidP="00300BE8">
      <w:pPr>
        <w:spacing w:line="260" w:lineRule="exact"/>
        <w:rPr>
          <w:rFonts w:eastAsia="Times New Roman"/>
          <w:color w:val="000000" w:themeColor="text1"/>
          <w:lang w:eastAsia="zh-TW"/>
        </w:rPr>
      </w:pPr>
    </w:p>
    <w:sectPr w:rsidR="00883230" w:rsidRPr="00942374" w:rsidSect="001625B5">
      <w:footerReference w:type="default" r:id="rId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AF105" w14:textId="77777777" w:rsidR="00403B6B" w:rsidRDefault="00403B6B" w:rsidP="00E4717D">
      <w:r>
        <w:separator/>
      </w:r>
    </w:p>
  </w:endnote>
  <w:endnote w:type="continuationSeparator" w:id="0">
    <w:p w14:paraId="3D271961" w14:textId="77777777" w:rsidR="00403B6B" w:rsidRDefault="00403B6B" w:rsidP="00E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Myriad Pro">
    <w:altName w:val="微軟正黑體"/>
    <w:panose1 w:val="00000000000000000000"/>
    <w:charset w:val="88"/>
    <w:family w:val="swiss"/>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Microsoft JhengHei UI">
    <w:altName w:val="MS Mincho"/>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100212"/>
      <w:docPartObj>
        <w:docPartGallery w:val="Page Numbers (Bottom of Page)"/>
        <w:docPartUnique/>
      </w:docPartObj>
    </w:sdtPr>
    <w:sdtContent>
      <w:p w14:paraId="3AAE271B" w14:textId="2E3F1F77" w:rsidR="00350505" w:rsidRDefault="00350505">
        <w:pPr>
          <w:pStyle w:val="Footer"/>
          <w:jc w:val="center"/>
        </w:pPr>
        <w:r>
          <w:fldChar w:fldCharType="begin"/>
        </w:r>
        <w:r>
          <w:instrText>PAGE   \* MERGEFORMAT</w:instrText>
        </w:r>
        <w:r>
          <w:fldChar w:fldCharType="separate"/>
        </w:r>
        <w:r w:rsidRPr="00C17028">
          <w:rPr>
            <w:noProof/>
            <w:lang w:val="zh-TW"/>
          </w:rPr>
          <w:t>1</w:t>
        </w:r>
        <w:r>
          <w:fldChar w:fldCharType="end"/>
        </w:r>
      </w:p>
    </w:sdtContent>
  </w:sdt>
  <w:p w14:paraId="4E993DE2" w14:textId="77777777" w:rsidR="00350505" w:rsidRDefault="0035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313FE" w14:textId="77777777" w:rsidR="00403B6B" w:rsidRDefault="00403B6B" w:rsidP="00E4717D">
      <w:r>
        <w:separator/>
      </w:r>
    </w:p>
  </w:footnote>
  <w:footnote w:type="continuationSeparator" w:id="0">
    <w:p w14:paraId="10E3F0D1" w14:textId="77777777" w:rsidR="00403B6B" w:rsidRDefault="00403B6B" w:rsidP="00E47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139C"/>
    <w:multiLevelType w:val="hybridMultilevel"/>
    <w:tmpl w:val="B8EE378C"/>
    <w:lvl w:ilvl="0" w:tplc="2C9E2F7A">
      <w:start w:val="3"/>
      <w:numFmt w:val="decimal"/>
      <w:lvlText w:val="%1."/>
      <w:lvlJc w:val="left"/>
      <w:pPr>
        <w:ind w:left="840" w:hanging="360"/>
      </w:pPr>
      <w:rPr>
        <w:rFonts w:hint="default"/>
      </w:rPr>
    </w:lvl>
    <w:lvl w:ilvl="1" w:tplc="0C000019" w:tentative="1">
      <w:start w:val="1"/>
      <w:numFmt w:val="lowerLetter"/>
      <w:lvlText w:val="%2."/>
      <w:lvlJc w:val="left"/>
      <w:pPr>
        <w:ind w:left="1560" w:hanging="360"/>
      </w:pPr>
    </w:lvl>
    <w:lvl w:ilvl="2" w:tplc="0C00001B" w:tentative="1">
      <w:start w:val="1"/>
      <w:numFmt w:val="lowerRoman"/>
      <w:lvlText w:val="%3."/>
      <w:lvlJc w:val="right"/>
      <w:pPr>
        <w:ind w:left="2280" w:hanging="180"/>
      </w:pPr>
    </w:lvl>
    <w:lvl w:ilvl="3" w:tplc="0C00000F" w:tentative="1">
      <w:start w:val="1"/>
      <w:numFmt w:val="decimal"/>
      <w:lvlText w:val="%4."/>
      <w:lvlJc w:val="left"/>
      <w:pPr>
        <w:ind w:left="3000" w:hanging="360"/>
      </w:pPr>
    </w:lvl>
    <w:lvl w:ilvl="4" w:tplc="0C000019" w:tentative="1">
      <w:start w:val="1"/>
      <w:numFmt w:val="lowerLetter"/>
      <w:lvlText w:val="%5."/>
      <w:lvlJc w:val="left"/>
      <w:pPr>
        <w:ind w:left="3720" w:hanging="360"/>
      </w:pPr>
    </w:lvl>
    <w:lvl w:ilvl="5" w:tplc="0C00001B" w:tentative="1">
      <w:start w:val="1"/>
      <w:numFmt w:val="lowerRoman"/>
      <w:lvlText w:val="%6."/>
      <w:lvlJc w:val="right"/>
      <w:pPr>
        <w:ind w:left="4440" w:hanging="180"/>
      </w:pPr>
    </w:lvl>
    <w:lvl w:ilvl="6" w:tplc="0C00000F" w:tentative="1">
      <w:start w:val="1"/>
      <w:numFmt w:val="decimal"/>
      <w:lvlText w:val="%7."/>
      <w:lvlJc w:val="left"/>
      <w:pPr>
        <w:ind w:left="5160" w:hanging="360"/>
      </w:pPr>
    </w:lvl>
    <w:lvl w:ilvl="7" w:tplc="0C000019" w:tentative="1">
      <w:start w:val="1"/>
      <w:numFmt w:val="lowerLetter"/>
      <w:lvlText w:val="%8."/>
      <w:lvlJc w:val="left"/>
      <w:pPr>
        <w:ind w:left="5880" w:hanging="360"/>
      </w:pPr>
    </w:lvl>
    <w:lvl w:ilvl="8" w:tplc="0C00001B" w:tentative="1">
      <w:start w:val="1"/>
      <w:numFmt w:val="lowerRoman"/>
      <w:lvlText w:val="%9."/>
      <w:lvlJc w:val="right"/>
      <w:pPr>
        <w:ind w:left="6600" w:hanging="180"/>
      </w:pPr>
    </w:lvl>
  </w:abstractNum>
  <w:abstractNum w:abstractNumId="1" w15:restartNumberingAfterBreak="0">
    <w:nsid w:val="1E305ACE"/>
    <w:multiLevelType w:val="hybridMultilevel"/>
    <w:tmpl w:val="63BC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25C0A"/>
    <w:multiLevelType w:val="hybridMultilevel"/>
    <w:tmpl w:val="08805A04"/>
    <w:lvl w:ilvl="0" w:tplc="CBE0E9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8E1A74"/>
    <w:multiLevelType w:val="hybridMultilevel"/>
    <w:tmpl w:val="988E2662"/>
    <w:lvl w:ilvl="0" w:tplc="AB0EC6A0">
      <w:start w:val="1"/>
      <w:numFmt w:val="decimal"/>
      <w:lvlText w:val="%1."/>
      <w:lvlJc w:val="left"/>
      <w:pPr>
        <w:ind w:left="840" w:hanging="360"/>
      </w:pPr>
      <w:rPr>
        <w:rFonts w:hint="default"/>
      </w:rPr>
    </w:lvl>
    <w:lvl w:ilvl="1" w:tplc="0C000019" w:tentative="1">
      <w:start w:val="1"/>
      <w:numFmt w:val="lowerLetter"/>
      <w:lvlText w:val="%2."/>
      <w:lvlJc w:val="left"/>
      <w:pPr>
        <w:ind w:left="1560" w:hanging="360"/>
      </w:pPr>
    </w:lvl>
    <w:lvl w:ilvl="2" w:tplc="0C00001B" w:tentative="1">
      <w:start w:val="1"/>
      <w:numFmt w:val="lowerRoman"/>
      <w:lvlText w:val="%3."/>
      <w:lvlJc w:val="right"/>
      <w:pPr>
        <w:ind w:left="2280" w:hanging="180"/>
      </w:pPr>
    </w:lvl>
    <w:lvl w:ilvl="3" w:tplc="0C00000F" w:tentative="1">
      <w:start w:val="1"/>
      <w:numFmt w:val="decimal"/>
      <w:lvlText w:val="%4."/>
      <w:lvlJc w:val="left"/>
      <w:pPr>
        <w:ind w:left="3000" w:hanging="360"/>
      </w:pPr>
    </w:lvl>
    <w:lvl w:ilvl="4" w:tplc="0C000019" w:tentative="1">
      <w:start w:val="1"/>
      <w:numFmt w:val="lowerLetter"/>
      <w:lvlText w:val="%5."/>
      <w:lvlJc w:val="left"/>
      <w:pPr>
        <w:ind w:left="3720" w:hanging="360"/>
      </w:pPr>
    </w:lvl>
    <w:lvl w:ilvl="5" w:tplc="0C00001B" w:tentative="1">
      <w:start w:val="1"/>
      <w:numFmt w:val="lowerRoman"/>
      <w:lvlText w:val="%6."/>
      <w:lvlJc w:val="right"/>
      <w:pPr>
        <w:ind w:left="4440" w:hanging="180"/>
      </w:pPr>
    </w:lvl>
    <w:lvl w:ilvl="6" w:tplc="0C00000F" w:tentative="1">
      <w:start w:val="1"/>
      <w:numFmt w:val="decimal"/>
      <w:lvlText w:val="%7."/>
      <w:lvlJc w:val="left"/>
      <w:pPr>
        <w:ind w:left="5160" w:hanging="360"/>
      </w:pPr>
    </w:lvl>
    <w:lvl w:ilvl="7" w:tplc="0C000019" w:tentative="1">
      <w:start w:val="1"/>
      <w:numFmt w:val="lowerLetter"/>
      <w:lvlText w:val="%8."/>
      <w:lvlJc w:val="left"/>
      <w:pPr>
        <w:ind w:left="5880" w:hanging="360"/>
      </w:pPr>
    </w:lvl>
    <w:lvl w:ilvl="8" w:tplc="0C00001B" w:tentative="1">
      <w:start w:val="1"/>
      <w:numFmt w:val="lowerRoman"/>
      <w:lvlText w:val="%9."/>
      <w:lvlJc w:val="right"/>
      <w:pPr>
        <w:ind w:left="6600" w:hanging="180"/>
      </w:pPr>
    </w:lvl>
  </w:abstractNum>
  <w:abstractNum w:abstractNumId="4" w15:restartNumberingAfterBreak="0">
    <w:nsid w:val="32F477FA"/>
    <w:multiLevelType w:val="multilevel"/>
    <w:tmpl w:val="F6DE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220D7"/>
    <w:multiLevelType w:val="multilevel"/>
    <w:tmpl w:val="103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C53F1"/>
    <w:multiLevelType w:val="hybridMultilevel"/>
    <w:tmpl w:val="15CECA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F40BDA"/>
    <w:multiLevelType w:val="multilevel"/>
    <w:tmpl w:val="BEB0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A2C62"/>
    <w:multiLevelType w:val="hybridMultilevel"/>
    <w:tmpl w:val="185284B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B67801"/>
    <w:multiLevelType w:val="multilevel"/>
    <w:tmpl w:val="2AF2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2E4086"/>
    <w:multiLevelType w:val="multilevel"/>
    <w:tmpl w:val="12AA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744438"/>
    <w:multiLevelType w:val="hybridMultilevel"/>
    <w:tmpl w:val="E024515C"/>
    <w:lvl w:ilvl="0" w:tplc="9A7AB3C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EDC586C"/>
    <w:multiLevelType w:val="hybridMultilevel"/>
    <w:tmpl w:val="EB2ED8CA"/>
    <w:lvl w:ilvl="0" w:tplc="A4A0172A">
      <w:start w:val="1"/>
      <w:numFmt w:val="decimalZero"/>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084A91"/>
    <w:multiLevelType w:val="hybridMultilevel"/>
    <w:tmpl w:val="270EAC32"/>
    <w:lvl w:ilvl="0" w:tplc="472CFA7C">
      <w:start w:val="1"/>
      <w:numFmt w:val="decimal"/>
      <w:lvlText w:val="%1."/>
      <w:lvlJc w:val="left"/>
      <w:pPr>
        <w:ind w:left="360" w:hanging="36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EE5AB8"/>
    <w:multiLevelType w:val="hybridMultilevel"/>
    <w:tmpl w:val="72023DF4"/>
    <w:lvl w:ilvl="0" w:tplc="9036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903566"/>
    <w:multiLevelType w:val="hybridMultilevel"/>
    <w:tmpl w:val="270EAC32"/>
    <w:lvl w:ilvl="0" w:tplc="472CFA7C">
      <w:start w:val="1"/>
      <w:numFmt w:val="decimal"/>
      <w:lvlText w:val="%1."/>
      <w:lvlJc w:val="left"/>
      <w:pPr>
        <w:ind w:left="360" w:hanging="36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E04A2A"/>
    <w:multiLevelType w:val="multilevel"/>
    <w:tmpl w:val="C0CC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6"/>
  </w:num>
  <w:num w:numId="4">
    <w:abstractNumId w:val="1"/>
  </w:num>
  <w:num w:numId="5">
    <w:abstractNumId w:val="2"/>
  </w:num>
  <w:num w:numId="6">
    <w:abstractNumId w:val="8"/>
  </w:num>
  <w:num w:numId="7">
    <w:abstractNumId w:val="11"/>
  </w:num>
  <w:num w:numId="8">
    <w:abstractNumId w:val="13"/>
  </w:num>
  <w:num w:numId="9">
    <w:abstractNumId w:val="3"/>
  </w:num>
  <w:num w:numId="10">
    <w:abstractNumId w:val="0"/>
  </w:num>
  <w:num w:numId="11">
    <w:abstractNumId w:val="4"/>
  </w:num>
  <w:num w:numId="12">
    <w:abstractNumId w:val="10"/>
  </w:num>
  <w:num w:numId="13">
    <w:abstractNumId w:val="9"/>
  </w:num>
  <w:num w:numId="14">
    <w:abstractNumId w:val="5"/>
  </w:num>
  <w:num w:numId="15">
    <w:abstractNumId w:val="16"/>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58"/>
    <w:rsid w:val="0001325E"/>
    <w:rsid w:val="00017FFC"/>
    <w:rsid w:val="000245A5"/>
    <w:rsid w:val="00032D97"/>
    <w:rsid w:val="00033010"/>
    <w:rsid w:val="000378A6"/>
    <w:rsid w:val="000452C6"/>
    <w:rsid w:val="00046AD2"/>
    <w:rsid w:val="00051CB7"/>
    <w:rsid w:val="00055AF3"/>
    <w:rsid w:val="0006134F"/>
    <w:rsid w:val="000617B7"/>
    <w:rsid w:val="000646A7"/>
    <w:rsid w:val="00067704"/>
    <w:rsid w:val="00067ABD"/>
    <w:rsid w:val="00070638"/>
    <w:rsid w:val="000724C3"/>
    <w:rsid w:val="00072BBA"/>
    <w:rsid w:val="000745E7"/>
    <w:rsid w:val="00083E46"/>
    <w:rsid w:val="00085378"/>
    <w:rsid w:val="00085AEA"/>
    <w:rsid w:val="000864E0"/>
    <w:rsid w:val="00091818"/>
    <w:rsid w:val="00092BE4"/>
    <w:rsid w:val="000A02E0"/>
    <w:rsid w:val="000A3F2A"/>
    <w:rsid w:val="000A72AB"/>
    <w:rsid w:val="000B15C8"/>
    <w:rsid w:val="000B24FE"/>
    <w:rsid w:val="000B4130"/>
    <w:rsid w:val="000B4B13"/>
    <w:rsid w:val="000B6460"/>
    <w:rsid w:val="000B7D97"/>
    <w:rsid w:val="000C0D73"/>
    <w:rsid w:val="000C2930"/>
    <w:rsid w:val="000D15FD"/>
    <w:rsid w:val="000E2C4A"/>
    <w:rsid w:val="000E3FB6"/>
    <w:rsid w:val="000E4907"/>
    <w:rsid w:val="000E5239"/>
    <w:rsid w:val="000E6E7A"/>
    <w:rsid w:val="000F0620"/>
    <w:rsid w:val="000F0B9D"/>
    <w:rsid w:val="000F1D52"/>
    <w:rsid w:val="000F2322"/>
    <w:rsid w:val="0010183B"/>
    <w:rsid w:val="00106CC9"/>
    <w:rsid w:val="00110AD8"/>
    <w:rsid w:val="00110F3E"/>
    <w:rsid w:val="00113564"/>
    <w:rsid w:val="00114D77"/>
    <w:rsid w:val="00115E1F"/>
    <w:rsid w:val="001218B5"/>
    <w:rsid w:val="00124D4E"/>
    <w:rsid w:val="001268D5"/>
    <w:rsid w:val="00141A36"/>
    <w:rsid w:val="00141BD6"/>
    <w:rsid w:val="001427B3"/>
    <w:rsid w:val="00145525"/>
    <w:rsid w:val="00152DF8"/>
    <w:rsid w:val="001543E2"/>
    <w:rsid w:val="001554F5"/>
    <w:rsid w:val="001619FA"/>
    <w:rsid w:val="001625B5"/>
    <w:rsid w:val="00167216"/>
    <w:rsid w:val="0017129A"/>
    <w:rsid w:val="00173C8C"/>
    <w:rsid w:val="001745AD"/>
    <w:rsid w:val="001748A2"/>
    <w:rsid w:val="00181F9A"/>
    <w:rsid w:val="00190634"/>
    <w:rsid w:val="00191251"/>
    <w:rsid w:val="00191683"/>
    <w:rsid w:val="001933D5"/>
    <w:rsid w:val="00197261"/>
    <w:rsid w:val="001A0D81"/>
    <w:rsid w:val="001A10DC"/>
    <w:rsid w:val="001A2E3E"/>
    <w:rsid w:val="001A50CD"/>
    <w:rsid w:val="001A53F5"/>
    <w:rsid w:val="001B165A"/>
    <w:rsid w:val="001B1E6A"/>
    <w:rsid w:val="001B2FEF"/>
    <w:rsid w:val="001C52A3"/>
    <w:rsid w:val="001C551C"/>
    <w:rsid w:val="001C5F88"/>
    <w:rsid w:val="001C709C"/>
    <w:rsid w:val="001D4CEB"/>
    <w:rsid w:val="001D7342"/>
    <w:rsid w:val="001D7F98"/>
    <w:rsid w:val="001E3090"/>
    <w:rsid w:val="001F2D55"/>
    <w:rsid w:val="001F47C4"/>
    <w:rsid w:val="00203A3A"/>
    <w:rsid w:val="0020433F"/>
    <w:rsid w:val="00205CCA"/>
    <w:rsid w:val="00210415"/>
    <w:rsid w:val="00211EF1"/>
    <w:rsid w:val="00212973"/>
    <w:rsid w:val="00213211"/>
    <w:rsid w:val="002135F2"/>
    <w:rsid w:val="00214732"/>
    <w:rsid w:val="00221F8D"/>
    <w:rsid w:val="00225E64"/>
    <w:rsid w:val="002269D5"/>
    <w:rsid w:val="00231F58"/>
    <w:rsid w:val="00232667"/>
    <w:rsid w:val="00232BC7"/>
    <w:rsid w:val="00236070"/>
    <w:rsid w:val="00241E9E"/>
    <w:rsid w:val="0024329A"/>
    <w:rsid w:val="00246F13"/>
    <w:rsid w:val="002476C2"/>
    <w:rsid w:val="00252C16"/>
    <w:rsid w:val="00253AFE"/>
    <w:rsid w:val="00260946"/>
    <w:rsid w:val="002631D1"/>
    <w:rsid w:val="00267BEE"/>
    <w:rsid w:val="00274E0B"/>
    <w:rsid w:val="00276309"/>
    <w:rsid w:val="00280DA4"/>
    <w:rsid w:val="002811C7"/>
    <w:rsid w:val="00282654"/>
    <w:rsid w:val="00283984"/>
    <w:rsid w:val="002867B3"/>
    <w:rsid w:val="00286E53"/>
    <w:rsid w:val="00296D70"/>
    <w:rsid w:val="002A5E0D"/>
    <w:rsid w:val="002A72A8"/>
    <w:rsid w:val="002A7F6E"/>
    <w:rsid w:val="002B640A"/>
    <w:rsid w:val="002C0E29"/>
    <w:rsid w:val="002C1F41"/>
    <w:rsid w:val="002C2B6F"/>
    <w:rsid w:val="002C6448"/>
    <w:rsid w:val="002C6BAA"/>
    <w:rsid w:val="002D3E03"/>
    <w:rsid w:val="002D4F27"/>
    <w:rsid w:val="002E1DAA"/>
    <w:rsid w:val="002E2A4D"/>
    <w:rsid w:val="002F1D32"/>
    <w:rsid w:val="002F47BF"/>
    <w:rsid w:val="002F7A53"/>
    <w:rsid w:val="00300BE8"/>
    <w:rsid w:val="00301CC8"/>
    <w:rsid w:val="003039B7"/>
    <w:rsid w:val="00311CD5"/>
    <w:rsid w:val="0031659E"/>
    <w:rsid w:val="00316D78"/>
    <w:rsid w:val="003222E4"/>
    <w:rsid w:val="00322AC7"/>
    <w:rsid w:val="00323481"/>
    <w:rsid w:val="003237BC"/>
    <w:rsid w:val="0032431C"/>
    <w:rsid w:val="00335738"/>
    <w:rsid w:val="00341978"/>
    <w:rsid w:val="003425F5"/>
    <w:rsid w:val="00344F0F"/>
    <w:rsid w:val="00345BC2"/>
    <w:rsid w:val="00345FE4"/>
    <w:rsid w:val="00350505"/>
    <w:rsid w:val="003508BC"/>
    <w:rsid w:val="00353B1A"/>
    <w:rsid w:val="00353B50"/>
    <w:rsid w:val="00355F9F"/>
    <w:rsid w:val="003750B3"/>
    <w:rsid w:val="0037662C"/>
    <w:rsid w:val="003831E2"/>
    <w:rsid w:val="00385347"/>
    <w:rsid w:val="003875AC"/>
    <w:rsid w:val="003917F9"/>
    <w:rsid w:val="003960AB"/>
    <w:rsid w:val="003977A1"/>
    <w:rsid w:val="003A0941"/>
    <w:rsid w:val="003A59AF"/>
    <w:rsid w:val="003B1E67"/>
    <w:rsid w:val="003B2311"/>
    <w:rsid w:val="003B5771"/>
    <w:rsid w:val="003B7AFA"/>
    <w:rsid w:val="003C06C1"/>
    <w:rsid w:val="003C40F9"/>
    <w:rsid w:val="003C62E7"/>
    <w:rsid w:val="003D0297"/>
    <w:rsid w:val="003D1990"/>
    <w:rsid w:val="003D1CE3"/>
    <w:rsid w:val="003D55D7"/>
    <w:rsid w:val="003D6B65"/>
    <w:rsid w:val="003E0574"/>
    <w:rsid w:val="003E0A20"/>
    <w:rsid w:val="003E1DBD"/>
    <w:rsid w:val="003E4783"/>
    <w:rsid w:val="003F32F6"/>
    <w:rsid w:val="003F34B9"/>
    <w:rsid w:val="003F4722"/>
    <w:rsid w:val="004004B2"/>
    <w:rsid w:val="00403A9F"/>
    <w:rsid w:val="00403B6B"/>
    <w:rsid w:val="00406C29"/>
    <w:rsid w:val="00413EE6"/>
    <w:rsid w:val="00415851"/>
    <w:rsid w:val="0041705F"/>
    <w:rsid w:val="00421381"/>
    <w:rsid w:val="00423034"/>
    <w:rsid w:val="00423B79"/>
    <w:rsid w:val="004241CC"/>
    <w:rsid w:val="004251C9"/>
    <w:rsid w:val="004263D1"/>
    <w:rsid w:val="004268A4"/>
    <w:rsid w:val="00432D61"/>
    <w:rsid w:val="004335F2"/>
    <w:rsid w:val="00433C54"/>
    <w:rsid w:val="00450C16"/>
    <w:rsid w:val="00452A4B"/>
    <w:rsid w:val="004617D0"/>
    <w:rsid w:val="00461ED5"/>
    <w:rsid w:val="0046554A"/>
    <w:rsid w:val="004748A0"/>
    <w:rsid w:val="00477A9D"/>
    <w:rsid w:val="00477C10"/>
    <w:rsid w:val="00477EAF"/>
    <w:rsid w:val="00480A05"/>
    <w:rsid w:val="00482F27"/>
    <w:rsid w:val="004841E7"/>
    <w:rsid w:val="004853A6"/>
    <w:rsid w:val="00487A2F"/>
    <w:rsid w:val="00497966"/>
    <w:rsid w:val="004A06B8"/>
    <w:rsid w:val="004A130F"/>
    <w:rsid w:val="004A2B6B"/>
    <w:rsid w:val="004B055E"/>
    <w:rsid w:val="004B0596"/>
    <w:rsid w:val="004B1CBC"/>
    <w:rsid w:val="004B1E4A"/>
    <w:rsid w:val="004B2E45"/>
    <w:rsid w:val="004B3CA5"/>
    <w:rsid w:val="004B4418"/>
    <w:rsid w:val="004B4FA1"/>
    <w:rsid w:val="004C4A61"/>
    <w:rsid w:val="004C6AAB"/>
    <w:rsid w:val="004D6618"/>
    <w:rsid w:val="004D7D46"/>
    <w:rsid w:val="004E5210"/>
    <w:rsid w:val="004F5CC1"/>
    <w:rsid w:val="005023C0"/>
    <w:rsid w:val="00506538"/>
    <w:rsid w:val="00506A6E"/>
    <w:rsid w:val="0051007B"/>
    <w:rsid w:val="005129B0"/>
    <w:rsid w:val="00512D93"/>
    <w:rsid w:val="0051398E"/>
    <w:rsid w:val="0051436F"/>
    <w:rsid w:val="005204E6"/>
    <w:rsid w:val="00520B75"/>
    <w:rsid w:val="00523E44"/>
    <w:rsid w:val="00530ECF"/>
    <w:rsid w:val="00533B0B"/>
    <w:rsid w:val="005340F8"/>
    <w:rsid w:val="00534578"/>
    <w:rsid w:val="0053603F"/>
    <w:rsid w:val="00546F33"/>
    <w:rsid w:val="005513E0"/>
    <w:rsid w:val="00552128"/>
    <w:rsid w:val="0055266D"/>
    <w:rsid w:val="0055283E"/>
    <w:rsid w:val="0055301C"/>
    <w:rsid w:val="0055396E"/>
    <w:rsid w:val="00553C2C"/>
    <w:rsid w:val="00560284"/>
    <w:rsid w:val="00567BBB"/>
    <w:rsid w:val="00570D0B"/>
    <w:rsid w:val="005803A7"/>
    <w:rsid w:val="00582CB6"/>
    <w:rsid w:val="00584B50"/>
    <w:rsid w:val="005858CA"/>
    <w:rsid w:val="005912EC"/>
    <w:rsid w:val="005918E5"/>
    <w:rsid w:val="005A0239"/>
    <w:rsid w:val="005A0A38"/>
    <w:rsid w:val="005A17D1"/>
    <w:rsid w:val="005A1A8B"/>
    <w:rsid w:val="005A644D"/>
    <w:rsid w:val="005A67F4"/>
    <w:rsid w:val="005B282D"/>
    <w:rsid w:val="005B3C08"/>
    <w:rsid w:val="005B476C"/>
    <w:rsid w:val="005B6253"/>
    <w:rsid w:val="005C0546"/>
    <w:rsid w:val="005C2A17"/>
    <w:rsid w:val="005C596E"/>
    <w:rsid w:val="005C7532"/>
    <w:rsid w:val="005D047D"/>
    <w:rsid w:val="005D1B1E"/>
    <w:rsid w:val="005D59A8"/>
    <w:rsid w:val="005D67EF"/>
    <w:rsid w:val="005D74CA"/>
    <w:rsid w:val="005D74D2"/>
    <w:rsid w:val="005E53FE"/>
    <w:rsid w:val="005E6F7A"/>
    <w:rsid w:val="005F41FB"/>
    <w:rsid w:val="006021A8"/>
    <w:rsid w:val="00605B56"/>
    <w:rsid w:val="00611AA6"/>
    <w:rsid w:val="00612705"/>
    <w:rsid w:val="00612A2D"/>
    <w:rsid w:val="00620AE4"/>
    <w:rsid w:val="006226A1"/>
    <w:rsid w:val="00622CFB"/>
    <w:rsid w:val="00623B6A"/>
    <w:rsid w:val="00624636"/>
    <w:rsid w:val="00624AEC"/>
    <w:rsid w:val="006269FD"/>
    <w:rsid w:val="00632C95"/>
    <w:rsid w:val="006342F1"/>
    <w:rsid w:val="00637BC4"/>
    <w:rsid w:val="00642636"/>
    <w:rsid w:val="0064557A"/>
    <w:rsid w:val="006465FD"/>
    <w:rsid w:val="0065041D"/>
    <w:rsid w:val="00661516"/>
    <w:rsid w:val="006634D6"/>
    <w:rsid w:val="006637A0"/>
    <w:rsid w:val="0066505A"/>
    <w:rsid w:val="006722FE"/>
    <w:rsid w:val="00673940"/>
    <w:rsid w:val="006759DD"/>
    <w:rsid w:val="00675C08"/>
    <w:rsid w:val="0068024F"/>
    <w:rsid w:val="00680A04"/>
    <w:rsid w:val="00680FB1"/>
    <w:rsid w:val="0068226B"/>
    <w:rsid w:val="00684A8B"/>
    <w:rsid w:val="0068651C"/>
    <w:rsid w:val="006951A3"/>
    <w:rsid w:val="00695ADB"/>
    <w:rsid w:val="00696F02"/>
    <w:rsid w:val="00697B2A"/>
    <w:rsid w:val="00697F92"/>
    <w:rsid w:val="006A12B0"/>
    <w:rsid w:val="006A28DA"/>
    <w:rsid w:val="006A300E"/>
    <w:rsid w:val="006A43F6"/>
    <w:rsid w:val="006A46A5"/>
    <w:rsid w:val="006A4870"/>
    <w:rsid w:val="006B2649"/>
    <w:rsid w:val="006B297E"/>
    <w:rsid w:val="006B3DFC"/>
    <w:rsid w:val="006C1A68"/>
    <w:rsid w:val="006D0059"/>
    <w:rsid w:val="006D296B"/>
    <w:rsid w:val="006D3C28"/>
    <w:rsid w:val="006D777A"/>
    <w:rsid w:val="006D7985"/>
    <w:rsid w:val="006E0056"/>
    <w:rsid w:val="006E04F9"/>
    <w:rsid w:val="006E0A7D"/>
    <w:rsid w:val="006E0D21"/>
    <w:rsid w:val="006E4D18"/>
    <w:rsid w:val="006E5AC7"/>
    <w:rsid w:val="006E6235"/>
    <w:rsid w:val="006E6F4D"/>
    <w:rsid w:val="006F0BFE"/>
    <w:rsid w:val="006F135E"/>
    <w:rsid w:val="006F2048"/>
    <w:rsid w:val="006F3B03"/>
    <w:rsid w:val="006F41D6"/>
    <w:rsid w:val="006F4258"/>
    <w:rsid w:val="006F4962"/>
    <w:rsid w:val="006F4C41"/>
    <w:rsid w:val="006F6574"/>
    <w:rsid w:val="0070105B"/>
    <w:rsid w:val="00710B98"/>
    <w:rsid w:val="0071102D"/>
    <w:rsid w:val="007118A7"/>
    <w:rsid w:val="0071777F"/>
    <w:rsid w:val="00723321"/>
    <w:rsid w:val="0072500A"/>
    <w:rsid w:val="0073177B"/>
    <w:rsid w:val="007334DC"/>
    <w:rsid w:val="0073783E"/>
    <w:rsid w:val="00742593"/>
    <w:rsid w:val="007438D7"/>
    <w:rsid w:val="007471D4"/>
    <w:rsid w:val="00750738"/>
    <w:rsid w:val="00753542"/>
    <w:rsid w:val="00753F57"/>
    <w:rsid w:val="007558B7"/>
    <w:rsid w:val="007620FB"/>
    <w:rsid w:val="0076521A"/>
    <w:rsid w:val="00767B57"/>
    <w:rsid w:val="00770997"/>
    <w:rsid w:val="0077505F"/>
    <w:rsid w:val="00775633"/>
    <w:rsid w:val="00776268"/>
    <w:rsid w:val="007777BC"/>
    <w:rsid w:val="00777D6D"/>
    <w:rsid w:val="007821C5"/>
    <w:rsid w:val="00784AFE"/>
    <w:rsid w:val="00790BB8"/>
    <w:rsid w:val="00791F8C"/>
    <w:rsid w:val="007931F8"/>
    <w:rsid w:val="0079433A"/>
    <w:rsid w:val="007944C0"/>
    <w:rsid w:val="007957CD"/>
    <w:rsid w:val="00797F4E"/>
    <w:rsid w:val="007A3A95"/>
    <w:rsid w:val="007A5E2F"/>
    <w:rsid w:val="007B404E"/>
    <w:rsid w:val="007B4EC5"/>
    <w:rsid w:val="007B68A3"/>
    <w:rsid w:val="007C09B1"/>
    <w:rsid w:val="007C4CD2"/>
    <w:rsid w:val="007C5A96"/>
    <w:rsid w:val="007C764D"/>
    <w:rsid w:val="007D4177"/>
    <w:rsid w:val="007D7F0A"/>
    <w:rsid w:val="007F221E"/>
    <w:rsid w:val="007F2333"/>
    <w:rsid w:val="007F5E0A"/>
    <w:rsid w:val="007F6E36"/>
    <w:rsid w:val="007F7AA9"/>
    <w:rsid w:val="00806D66"/>
    <w:rsid w:val="00807EB6"/>
    <w:rsid w:val="00811D30"/>
    <w:rsid w:val="00821237"/>
    <w:rsid w:val="0082291C"/>
    <w:rsid w:val="00822F6E"/>
    <w:rsid w:val="00827484"/>
    <w:rsid w:val="008279FC"/>
    <w:rsid w:val="00830A7D"/>
    <w:rsid w:val="0083474D"/>
    <w:rsid w:val="008427FF"/>
    <w:rsid w:val="00845A8F"/>
    <w:rsid w:val="00846EEB"/>
    <w:rsid w:val="0085490C"/>
    <w:rsid w:val="00862D7D"/>
    <w:rsid w:val="0087091F"/>
    <w:rsid w:val="0087294D"/>
    <w:rsid w:val="008732FC"/>
    <w:rsid w:val="0087650A"/>
    <w:rsid w:val="00876E07"/>
    <w:rsid w:val="0088050F"/>
    <w:rsid w:val="0088246C"/>
    <w:rsid w:val="00883230"/>
    <w:rsid w:val="0088332C"/>
    <w:rsid w:val="008835FC"/>
    <w:rsid w:val="00887B1D"/>
    <w:rsid w:val="008941F0"/>
    <w:rsid w:val="00895FBC"/>
    <w:rsid w:val="008A3CCD"/>
    <w:rsid w:val="008A41A0"/>
    <w:rsid w:val="008A6981"/>
    <w:rsid w:val="008A757E"/>
    <w:rsid w:val="008B4978"/>
    <w:rsid w:val="008B7AF1"/>
    <w:rsid w:val="008C15F4"/>
    <w:rsid w:val="008C6432"/>
    <w:rsid w:val="008C64E7"/>
    <w:rsid w:val="008D00F6"/>
    <w:rsid w:val="008D138E"/>
    <w:rsid w:val="008D1E22"/>
    <w:rsid w:val="008E0273"/>
    <w:rsid w:val="008E0755"/>
    <w:rsid w:val="008E5FD3"/>
    <w:rsid w:val="008E607A"/>
    <w:rsid w:val="008E644B"/>
    <w:rsid w:val="008E6815"/>
    <w:rsid w:val="008E7DF0"/>
    <w:rsid w:val="008F19BE"/>
    <w:rsid w:val="008F37E9"/>
    <w:rsid w:val="008F4472"/>
    <w:rsid w:val="008F5B55"/>
    <w:rsid w:val="009008AD"/>
    <w:rsid w:val="00900E2C"/>
    <w:rsid w:val="00903400"/>
    <w:rsid w:val="009038C0"/>
    <w:rsid w:val="00905972"/>
    <w:rsid w:val="0090610C"/>
    <w:rsid w:val="009073FD"/>
    <w:rsid w:val="009142E4"/>
    <w:rsid w:val="00915202"/>
    <w:rsid w:val="009179D5"/>
    <w:rsid w:val="009237D1"/>
    <w:rsid w:val="00923E37"/>
    <w:rsid w:val="009251DD"/>
    <w:rsid w:val="00925D82"/>
    <w:rsid w:val="009278DB"/>
    <w:rsid w:val="009326B6"/>
    <w:rsid w:val="009346B6"/>
    <w:rsid w:val="009371F9"/>
    <w:rsid w:val="00937A7A"/>
    <w:rsid w:val="00942374"/>
    <w:rsid w:val="0094329E"/>
    <w:rsid w:val="009502D9"/>
    <w:rsid w:val="009504AC"/>
    <w:rsid w:val="0095151B"/>
    <w:rsid w:val="00955336"/>
    <w:rsid w:val="009559B6"/>
    <w:rsid w:val="00955AA7"/>
    <w:rsid w:val="00957907"/>
    <w:rsid w:val="009632C4"/>
    <w:rsid w:val="00965E6D"/>
    <w:rsid w:val="00973BA0"/>
    <w:rsid w:val="00973CE7"/>
    <w:rsid w:val="00974BCA"/>
    <w:rsid w:val="00976F1D"/>
    <w:rsid w:val="00977A69"/>
    <w:rsid w:val="00985E8C"/>
    <w:rsid w:val="00993AF6"/>
    <w:rsid w:val="0099724D"/>
    <w:rsid w:val="009A0519"/>
    <w:rsid w:val="009A7280"/>
    <w:rsid w:val="009B4ADB"/>
    <w:rsid w:val="009B614A"/>
    <w:rsid w:val="009B62B2"/>
    <w:rsid w:val="009B747A"/>
    <w:rsid w:val="009C1A55"/>
    <w:rsid w:val="009C4B70"/>
    <w:rsid w:val="009C569B"/>
    <w:rsid w:val="009C5B86"/>
    <w:rsid w:val="009C6A00"/>
    <w:rsid w:val="009D6D6F"/>
    <w:rsid w:val="009E04A9"/>
    <w:rsid w:val="009E20B4"/>
    <w:rsid w:val="009E5871"/>
    <w:rsid w:val="009E73F1"/>
    <w:rsid w:val="009E7B56"/>
    <w:rsid w:val="009F058E"/>
    <w:rsid w:val="009F2643"/>
    <w:rsid w:val="009F46EF"/>
    <w:rsid w:val="009F6214"/>
    <w:rsid w:val="009F6E01"/>
    <w:rsid w:val="009F7043"/>
    <w:rsid w:val="00A046BD"/>
    <w:rsid w:val="00A057B4"/>
    <w:rsid w:val="00A06AD3"/>
    <w:rsid w:val="00A104F4"/>
    <w:rsid w:val="00A1462D"/>
    <w:rsid w:val="00A214CF"/>
    <w:rsid w:val="00A21C0F"/>
    <w:rsid w:val="00A226D4"/>
    <w:rsid w:val="00A25B99"/>
    <w:rsid w:val="00A308F8"/>
    <w:rsid w:val="00A31AF5"/>
    <w:rsid w:val="00A339C3"/>
    <w:rsid w:val="00A35F5F"/>
    <w:rsid w:val="00A4325B"/>
    <w:rsid w:val="00A43CE7"/>
    <w:rsid w:val="00A465FA"/>
    <w:rsid w:val="00A5685F"/>
    <w:rsid w:val="00A57EF9"/>
    <w:rsid w:val="00A66E2F"/>
    <w:rsid w:val="00A70C4D"/>
    <w:rsid w:val="00A72AA5"/>
    <w:rsid w:val="00A733A1"/>
    <w:rsid w:val="00A76433"/>
    <w:rsid w:val="00A76695"/>
    <w:rsid w:val="00A76AB5"/>
    <w:rsid w:val="00A8165D"/>
    <w:rsid w:val="00A81FDF"/>
    <w:rsid w:val="00A83C0B"/>
    <w:rsid w:val="00A90E40"/>
    <w:rsid w:val="00A919AA"/>
    <w:rsid w:val="00A92B18"/>
    <w:rsid w:val="00A944F9"/>
    <w:rsid w:val="00A94F52"/>
    <w:rsid w:val="00AA1DB0"/>
    <w:rsid w:val="00AA5593"/>
    <w:rsid w:val="00AB1E54"/>
    <w:rsid w:val="00AB2654"/>
    <w:rsid w:val="00AB6288"/>
    <w:rsid w:val="00AC4265"/>
    <w:rsid w:val="00AC4ACF"/>
    <w:rsid w:val="00AD0F56"/>
    <w:rsid w:val="00AD1F07"/>
    <w:rsid w:val="00AD1F35"/>
    <w:rsid w:val="00AD2443"/>
    <w:rsid w:val="00AD3182"/>
    <w:rsid w:val="00AE0A3B"/>
    <w:rsid w:val="00AE0C64"/>
    <w:rsid w:val="00AE6990"/>
    <w:rsid w:val="00AF53B1"/>
    <w:rsid w:val="00B07420"/>
    <w:rsid w:val="00B150A4"/>
    <w:rsid w:val="00B1565D"/>
    <w:rsid w:val="00B167BD"/>
    <w:rsid w:val="00B203F8"/>
    <w:rsid w:val="00B22081"/>
    <w:rsid w:val="00B25ADD"/>
    <w:rsid w:val="00B369C6"/>
    <w:rsid w:val="00B37F63"/>
    <w:rsid w:val="00B43C24"/>
    <w:rsid w:val="00B517E8"/>
    <w:rsid w:val="00B5401C"/>
    <w:rsid w:val="00B546BD"/>
    <w:rsid w:val="00B566A3"/>
    <w:rsid w:val="00B644FA"/>
    <w:rsid w:val="00B66343"/>
    <w:rsid w:val="00B73D62"/>
    <w:rsid w:val="00B7465B"/>
    <w:rsid w:val="00B817A6"/>
    <w:rsid w:val="00B871A1"/>
    <w:rsid w:val="00B923B5"/>
    <w:rsid w:val="00B92945"/>
    <w:rsid w:val="00B9370A"/>
    <w:rsid w:val="00B96D94"/>
    <w:rsid w:val="00B9751D"/>
    <w:rsid w:val="00BA360C"/>
    <w:rsid w:val="00BA5FD6"/>
    <w:rsid w:val="00BA68BF"/>
    <w:rsid w:val="00BB1F2D"/>
    <w:rsid w:val="00BB2339"/>
    <w:rsid w:val="00BB37C6"/>
    <w:rsid w:val="00BB3D01"/>
    <w:rsid w:val="00BC286F"/>
    <w:rsid w:val="00BC2F3C"/>
    <w:rsid w:val="00BC68C5"/>
    <w:rsid w:val="00BD0C52"/>
    <w:rsid w:val="00BD2EE0"/>
    <w:rsid w:val="00BD3EA4"/>
    <w:rsid w:val="00BD5776"/>
    <w:rsid w:val="00BD5F39"/>
    <w:rsid w:val="00BD6254"/>
    <w:rsid w:val="00BE3AB2"/>
    <w:rsid w:val="00BE6A2D"/>
    <w:rsid w:val="00BE7749"/>
    <w:rsid w:val="00BF2478"/>
    <w:rsid w:val="00BF57EC"/>
    <w:rsid w:val="00BF7701"/>
    <w:rsid w:val="00BF7D09"/>
    <w:rsid w:val="00C01276"/>
    <w:rsid w:val="00C01B24"/>
    <w:rsid w:val="00C10954"/>
    <w:rsid w:val="00C17028"/>
    <w:rsid w:val="00C17CE3"/>
    <w:rsid w:val="00C23A46"/>
    <w:rsid w:val="00C24810"/>
    <w:rsid w:val="00C26535"/>
    <w:rsid w:val="00C26EA1"/>
    <w:rsid w:val="00C26F51"/>
    <w:rsid w:val="00C2722D"/>
    <w:rsid w:val="00C32883"/>
    <w:rsid w:val="00C41832"/>
    <w:rsid w:val="00C45798"/>
    <w:rsid w:val="00C51BC2"/>
    <w:rsid w:val="00C53C08"/>
    <w:rsid w:val="00C546D3"/>
    <w:rsid w:val="00C56AC6"/>
    <w:rsid w:val="00C578FB"/>
    <w:rsid w:val="00C57B91"/>
    <w:rsid w:val="00C63645"/>
    <w:rsid w:val="00C65D6C"/>
    <w:rsid w:val="00C667A0"/>
    <w:rsid w:val="00C67835"/>
    <w:rsid w:val="00C72431"/>
    <w:rsid w:val="00C75A9E"/>
    <w:rsid w:val="00C801C6"/>
    <w:rsid w:val="00C803C8"/>
    <w:rsid w:val="00C81A0A"/>
    <w:rsid w:val="00C947FD"/>
    <w:rsid w:val="00C97604"/>
    <w:rsid w:val="00CA39E0"/>
    <w:rsid w:val="00CA68D4"/>
    <w:rsid w:val="00CB3235"/>
    <w:rsid w:val="00CB5F03"/>
    <w:rsid w:val="00CB60EE"/>
    <w:rsid w:val="00CB6B0F"/>
    <w:rsid w:val="00CB7760"/>
    <w:rsid w:val="00CC1E48"/>
    <w:rsid w:val="00CC40CF"/>
    <w:rsid w:val="00CC7CCB"/>
    <w:rsid w:val="00CD2F09"/>
    <w:rsid w:val="00CD4037"/>
    <w:rsid w:val="00CD6CBF"/>
    <w:rsid w:val="00CD7A0F"/>
    <w:rsid w:val="00CF163A"/>
    <w:rsid w:val="00CF1A53"/>
    <w:rsid w:val="00CF3596"/>
    <w:rsid w:val="00D00E7C"/>
    <w:rsid w:val="00D01271"/>
    <w:rsid w:val="00D02AE0"/>
    <w:rsid w:val="00D047E2"/>
    <w:rsid w:val="00D070B0"/>
    <w:rsid w:val="00D20D93"/>
    <w:rsid w:val="00D23ADB"/>
    <w:rsid w:val="00D26246"/>
    <w:rsid w:val="00D3245C"/>
    <w:rsid w:val="00D326DB"/>
    <w:rsid w:val="00D37568"/>
    <w:rsid w:val="00D42872"/>
    <w:rsid w:val="00D44A71"/>
    <w:rsid w:val="00D46642"/>
    <w:rsid w:val="00D50134"/>
    <w:rsid w:val="00D51B1A"/>
    <w:rsid w:val="00D51BB1"/>
    <w:rsid w:val="00D530F5"/>
    <w:rsid w:val="00D5413D"/>
    <w:rsid w:val="00D56848"/>
    <w:rsid w:val="00D67BBC"/>
    <w:rsid w:val="00D71645"/>
    <w:rsid w:val="00D832B7"/>
    <w:rsid w:val="00D850D0"/>
    <w:rsid w:val="00D868F3"/>
    <w:rsid w:val="00D9521A"/>
    <w:rsid w:val="00D9647C"/>
    <w:rsid w:val="00DA3413"/>
    <w:rsid w:val="00DB39FE"/>
    <w:rsid w:val="00DC2488"/>
    <w:rsid w:val="00DC2DF9"/>
    <w:rsid w:val="00DC32ED"/>
    <w:rsid w:val="00DC5E5F"/>
    <w:rsid w:val="00DC78DF"/>
    <w:rsid w:val="00DC7A30"/>
    <w:rsid w:val="00DD06F7"/>
    <w:rsid w:val="00DE0BF9"/>
    <w:rsid w:val="00DE5866"/>
    <w:rsid w:val="00DF1952"/>
    <w:rsid w:val="00DF6DAD"/>
    <w:rsid w:val="00DF7687"/>
    <w:rsid w:val="00E00B78"/>
    <w:rsid w:val="00E045E8"/>
    <w:rsid w:val="00E05948"/>
    <w:rsid w:val="00E13459"/>
    <w:rsid w:val="00E13861"/>
    <w:rsid w:val="00E142D4"/>
    <w:rsid w:val="00E1542D"/>
    <w:rsid w:val="00E15D72"/>
    <w:rsid w:val="00E16EE1"/>
    <w:rsid w:val="00E16FA1"/>
    <w:rsid w:val="00E21A00"/>
    <w:rsid w:val="00E27350"/>
    <w:rsid w:val="00E30132"/>
    <w:rsid w:val="00E31A3A"/>
    <w:rsid w:val="00E41463"/>
    <w:rsid w:val="00E4348C"/>
    <w:rsid w:val="00E43BA2"/>
    <w:rsid w:val="00E4717D"/>
    <w:rsid w:val="00E47C65"/>
    <w:rsid w:val="00E500BF"/>
    <w:rsid w:val="00E52112"/>
    <w:rsid w:val="00E531F0"/>
    <w:rsid w:val="00E543F3"/>
    <w:rsid w:val="00E6340D"/>
    <w:rsid w:val="00E64B76"/>
    <w:rsid w:val="00E67A8F"/>
    <w:rsid w:val="00E80AF6"/>
    <w:rsid w:val="00E83784"/>
    <w:rsid w:val="00E83D60"/>
    <w:rsid w:val="00E84856"/>
    <w:rsid w:val="00E868B1"/>
    <w:rsid w:val="00E87922"/>
    <w:rsid w:val="00E96F9B"/>
    <w:rsid w:val="00EA1B20"/>
    <w:rsid w:val="00EA38C1"/>
    <w:rsid w:val="00EA7E65"/>
    <w:rsid w:val="00EB20C2"/>
    <w:rsid w:val="00EB21AE"/>
    <w:rsid w:val="00EB279E"/>
    <w:rsid w:val="00EB3D71"/>
    <w:rsid w:val="00EC198A"/>
    <w:rsid w:val="00EE046A"/>
    <w:rsid w:val="00EE070E"/>
    <w:rsid w:val="00EE35BA"/>
    <w:rsid w:val="00EE53EA"/>
    <w:rsid w:val="00EE6874"/>
    <w:rsid w:val="00EF22E1"/>
    <w:rsid w:val="00EF2E04"/>
    <w:rsid w:val="00EF5B00"/>
    <w:rsid w:val="00EF61AA"/>
    <w:rsid w:val="00EF637A"/>
    <w:rsid w:val="00F01982"/>
    <w:rsid w:val="00F066AC"/>
    <w:rsid w:val="00F11210"/>
    <w:rsid w:val="00F11F55"/>
    <w:rsid w:val="00F249F9"/>
    <w:rsid w:val="00F25587"/>
    <w:rsid w:val="00F30364"/>
    <w:rsid w:val="00F31F69"/>
    <w:rsid w:val="00F31F90"/>
    <w:rsid w:val="00F32716"/>
    <w:rsid w:val="00F331B2"/>
    <w:rsid w:val="00F34338"/>
    <w:rsid w:val="00F35B45"/>
    <w:rsid w:val="00F45D00"/>
    <w:rsid w:val="00F47279"/>
    <w:rsid w:val="00F47B92"/>
    <w:rsid w:val="00F51204"/>
    <w:rsid w:val="00F51B27"/>
    <w:rsid w:val="00F56DD4"/>
    <w:rsid w:val="00F625C5"/>
    <w:rsid w:val="00F629D5"/>
    <w:rsid w:val="00F64109"/>
    <w:rsid w:val="00F6420F"/>
    <w:rsid w:val="00F701BB"/>
    <w:rsid w:val="00F718F2"/>
    <w:rsid w:val="00F73132"/>
    <w:rsid w:val="00F73EAA"/>
    <w:rsid w:val="00F74EC8"/>
    <w:rsid w:val="00F75CBB"/>
    <w:rsid w:val="00F772FE"/>
    <w:rsid w:val="00F8501D"/>
    <w:rsid w:val="00F901AB"/>
    <w:rsid w:val="00F9125C"/>
    <w:rsid w:val="00F940A7"/>
    <w:rsid w:val="00F9607E"/>
    <w:rsid w:val="00FA4152"/>
    <w:rsid w:val="00FB0DBA"/>
    <w:rsid w:val="00FC35F0"/>
    <w:rsid w:val="00FC3879"/>
    <w:rsid w:val="00FC5B1B"/>
    <w:rsid w:val="00FD315A"/>
    <w:rsid w:val="00FD471B"/>
    <w:rsid w:val="00FD59FF"/>
    <w:rsid w:val="00FE1F73"/>
    <w:rsid w:val="00FE2C57"/>
    <w:rsid w:val="00FE4F13"/>
    <w:rsid w:val="00FE4F59"/>
    <w:rsid w:val="00FF0088"/>
    <w:rsid w:val="00FF1E20"/>
    <w:rsid w:val="00FF2F40"/>
    <w:rsid w:val="00FF6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AACE5"/>
  <w15:chartTrackingRefBased/>
  <w15:docId w15:val="{B5E5B9ED-4D85-4A97-A533-1A2D4AB0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647C"/>
    <w:rPr>
      <w:rFonts w:ascii="Times New Roman" w:hAnsi="Times New Roman" w:cs="Times New Roman"/>
      <w:kern w:val="0"/>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5E7"/>
    <w:pPr>
      <w:widowControl w:val="0"/>
      <w:autoSpaceDE w:val="0"/>
      <w:autoSpaceDN w:val="0"/>
      <w:adjustRightInd w:val="0"/>
      <w:jc w:val="both"/>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5E7"/>
    <w:pPr>
      <w:autoSpaceDE w:val="0"/>
      <w:autoSpaceDN w:val="0"/>
      <w:adjustRightInd w:val="0"/>
      <w:ind w:leftChars="200" w:left="480"/>
      <w:jc w:val="both"/>
      <w:textAlignment w:val="baseline"/>
    </w:pPr>
    <w:rPr>
      <w:rFonts w:ascii="細明體" w:eastAsia="細明體" w:hAnsi="Tms Rmn" w:cs="細明體"/>
    </w:rPr>
  </w:style>
  <w:style w:type="character" w:styleId="Hyperlink">
    <w:name w:val="Hyperlink"/>
    <w:basedOn w:val="DefaultParagraphFont"/>
    <w:uiPriority w:val="99"/>
    <w:unhideWhenUsed/>
    <w:rsid w:val="00A35F5F"/>
    <w:rPr>
      <w:color w:val="0000FF" w:themeColor="hyperlink"/>
      <w:u w:val="single"/>
    </w:rPr>
  </w:style>
  <w:style w:type="character" w:customStyle="1" w:styleId="apple-converted-space">
    <w:name w:val="apple-converted-space"/>
    <w:basedOn w:val="DefaultParagraphFont"/>
    <w:rsid w:val="00A35F5F"/>
  </w:style>
  <w:style w:type="paragraph" w:customStyle="1" w:styleId="Default">
    <w:name w:val="Default"/>
    <w:rsid w:val="00DF1952"/>
    <w:pPr>
      <w:widowControl w:val="0"/>
      <w:autoSpaceDE w:val="0"/>
      <w:autoSpaceDN w:val="0"/>
      <w:adjustRightInd w:val="0"/>
    </w:pPr>
    <w:rPr>
      <w:rFonts w:ascii="Myriad Pro" w:eastAsia="Myriad Pro" w:cs="Myriad Pro"/>
      <w:color w:val="000000"/>
      <w:kern w:val="0"/>
      <w:szCs w:val="24"/>
    </w:rPr>
  </w:style>
  <w:style w:type="paragraph" w:customStyle="1" w:styleId="Pa21">
    <w:name w:val="Pa21"/>
    <w:basedOn w:val="Default"/>
    <w:next w:val="Default"/>
    <w:uiPriority w:val="99"/>
    <w:rsid w:val="00DF1952"/>
    <w:pPr>
      <w:spacing w:line="195" w:lineRule="atLeast"/>
    </w:pPr>
    <w:rPr>
      <w:rFonts w:cstheme="minorBidi"/>
      <w:color w:val="auto"/>
    </w:rPr>
  </w:style>
  <w:style w:type="paragraph" w:customStyle="1" w:styleId="Pa22">
    <w:name w:val="Pa22"/>
    <w:basedOn w:val="Default"/>
    <w:next w:val="Default"/>
    <w:uiPriority w:val="99"/>
    <w:rsid w:val="00DF1952"/>
    <w:pPr>
      <w:spacing w:line="151" w:lineRule="atLeast"/>
    </w:pPr>
    <w:rPr>
      <w:rFonts w:cstheme="minorBidi"/>
      <w:color w:val="auto"/>
    </w:rPr>
  </w:style>
  <w:style w:type="paragraph" w:customStyle="1" w:styleId="Pa24">
    <w:name w:val="Pa24"/>
    <w:basedOn w:val="Default"/>
    <w:next w:val="Default"/>
    <w:uiPriority w:val="99"/>
    <w:rsid w:val="00DF1952"/>
    <w:pPr>
      <w:spacing w:line="201" w:lineRule="atLeast"/>
    </w:pPr>
    <w:rPr>
      <w:rFonts w:cstheme="minorBidi"/>
      <w:color w:val="auto"/>
    </w:rPr>
  </w:style>
  <w:style w:type="character" w:customStyle="1" w:styleId="A10">
    <w:name w:val="A10"/>
    <w:uiPriority w:val="99"/>
    <w:rsid w:val="00DF1952"/>
    <w:rPr>
      <w:rFonts w:ascii="Book Antiqua" w:hAnsi="Book Antiqua" w:cs="Book Antiqua"/>
      <w:color w:val="000000"/>
      <w:sz w:val="15"/>
      <w:szCs w:val="15"/>
    </w:rPr>
  </w:style>
  <w:style w:type="paragraph" w:customStyle="1" w:styleId="Pa23">
    <w:name w:val="Pa23"/>
    <w:basedOn w:val="Default"/>
    <w:next w:val="Default"/>
    <w:uiPriority w:val="99"/>
    <w:rsid w:val="00DF1952"/>
    <w:pPr>
      <w:spacing w:line="151" w:lineRule="atLeast"/>
    </w:pPr>
    <w:rPr>
      <w:rFonts w:cstheme="minorBidi"/>
      <w:color w:val="auto"/>
    </w:rPr>
  </w:style>
  <w:style w:type="paragraph" w:customStyle="1" w:styleId="Pa25">
    <w:name w:val="Pa25"/>
    <w:basedOn w:val="Default"/>
    <w:next w:val="Default"/>
    <w:uiPriority w:val="99"/>
    <w:rsid w:val="00DF1952"/>
    <w:pPr>
      <w:spacing w:line="151" w:lineRule="atLeast"/>
    </w:pPr>
    <w:rPr>
      <w:rFonts w:cstheme="minorBidi"/>
      <w:color w:val="auto"/>
    </w:rPr>
  </w:style>
  <w:style w:type="paragraph" w:styleId="Header">
    <w:name w:val="header"/>
    <w:basedOn w:val="Normal"/>
    <w:link w:val="HeaderChar"/>
    <w:uiPriority w:val="99"/>
    <w:unhideWhenUsed/>
    <w:rsid w:val="00E4717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4717D"/>
    <w:rPr>
      <w:sz w:val="20"/>
      <w:szCs w:val="20"/>
    </w:rPr>
  </w:style>
  <w:style w:type="paragraph" w:styleId="Footer">
    <w:name w:val="footer"/>
    <w:basedOn w:val="Normal"/>
    <w:link w:val="FooterChar"/>
    <w:uiPriority w:val="99"/>
    <w:unhideWhenUsed/>
    <w:rsid w:val="00E4717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4717D"/>
    <w:rPr>
      <w:sz w:val="20"/>
      <w:szCs w:val="20"/>
    </w:rPr>
  </w:style>
  <w:style w:type="paragraph" w:styleId="NormalWeb">
    <w:name w:val="Normal (Web)"/>
    <w:basedOn w:val="Normal"/>
    <w:uiPriority w:val="99"/>
    <w:semiHidden/>
    <w:unhideWhenUsed/>
    <w:rsid w:val="00CB3235"/>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FC5B1B"/>
    <w:rPr>
      <w:sz w:val="16"/>
      <w:szCs w:val="16"/>
    </w:rPr>
  </w:style>
  <w:style w:type="paragraph" w:styleId="CommentText">
    <w:name w:val="annotation text"/>
    <w:basedOn w:val="Normal"/>
    <w:link w:val="CommentTextChar"/>
    <w:uiPriority w:val="99"/>
    <w:semiHidden/>
    <w:unhideWhenUsed/>
    <w:rsid w:val="00FC5B1B"/>
    <w:rPr>
      <w:sz w:val="20"/>
      <w:szCs w:val="20"/>
    </w:rPr>
  </w:style>
  <w:style w:type="character" w:customStyle="1" w:styleId="CommentTextChar">
    <w:name w:val="Comment Text Char"/>
    <w:basedOn w:val="DefaultParagraphFont"/>
    <w:link w:val="CommentText"/>
    <w:uiPriority w:val="99"/>
    <w:semiHidden/>
    <w:rsid w:val="00FC5B1B"/>
    <w:rPr>
      <w:sz w:val="20"/>
      <w:szCs w:val="20"/>
    </w:rPr>
  </w:style>
  <w:style w:type="paragraph" w:styleId="CommentSubject">
    <w:name w:val="annotation subject"/>
    <w:basedOn w:val="CommentText"/>
    <w:next w:val="CommentText"/>
    <w:link w:val="CommentSubjectChar"/>
    <w:uiPriority w:val="99"/>
    <w:semiHidden/>
    <w:unhideWhenUsed/>
    <w:rsid w:val="00FC5B1B"/>
    <w:rPr>
      <w:b/>
      <w:bCs/>
    </w:rPr>
  </w:style>
  <w:style w:type="character" w:customStyle="1" w:styleId="CommentSubjectChar">
    <w:name w:val="Comment Subject Char"/>
    <w:basedOn w:val="CommentTextChar"/>
    <w:link w:val="CommentSubject"/>
    <w:uiPriority w:val="99"/>
    <w:semiHidden/>
    <w:rsid w:val="00FC5B1B"/>
    <w:rPr>
      <w:b/>
      <w:bCs/>
      <w:sz w:val="20"/>
      <w:szCs w:val="20"/>
    </w:rPr>
  </w:style>
  <w:style w:type="paragraph" w:styleId="BalloonText">
    <w:name w:val="Balloon Text"/>
    <w:basedOn w:val="Normal"/>
    <w:link w:val="BalloonTextChar"/>
    <w:uiPriority w:val="99"/>
    <w:semiHidden/>
    <w:unhideWhenUsed/>
    <w:rsid w:val="00FC5B1B"/>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FC5B1B"/>
    <w:rPr>
      <w:rFonts w:ascii="Microsoft JhengHei UI" w:eastAsia="Microsoft JhengHei UI"/>
      <w:sz w:val="18"/>
      <w:szCs w:val="18"/>
    </w:rPr>
  </w:style>
  <w:style w:type="character" w:styleId="Emphasis">
    <w:name w:val="Emphasis"/>
    <w:basedOn w:val="DefaultParagraphFont"/>
    <w:uiPriority w:val="20"/>
    <w:qFormat/>
    <w:rsid w:val="00110F3E"/>
    <w:rPr>
      <w:i/>
      <w:iCs/>
    </w:rPr>
  </w:style>
  <w:style w:type="character" w:styleId="FollowedHyperlink">
    <w:name w:val="FollowedHyperlink"/>
    <w:basedOn w:val="DefaultParagraphFont"/>
    <w:uiPriority w:val="99"/>
    <w:semiHidden/>
    <w:unhideWhenUsed/>
    <w:rsid w:val="005B6253"/>
    <w:rPr>
      <w:color w:val="800080" w:themeColor="followedHyperlink"/>
      <w:u w:val="single"/>
    </w:rPr>
  </w:style>
  <w:style w:type="character" w:customStyle="1" w:styleId="a">
    <w:name w:val="_"/>
    <w:basedOn w:val="DefaultParagraphFont"/>
    <w:rsid w:val="00546F33"/>
  </w:style>
  <w:style w:type="character" w:customStyle="1" w:styleId="ffc">
    <w:name w:val="ffc"/>
    <w:basedOn w:val="DefaultParagraphFont"/>
    <w:rsid w:val="00546F33"/>
  </w:style>
  <w:style w:type="character" w:customStyle="1" w:styleId="ffb">
    <w:name w:val="ffb"/>
    <w:basedOn w:val="DefaultParagraphFont"/>
    <w:rsid w:val="00546F33"/>
  </w:style>
  <w:style w:type="character" w:customStyle="1" w:styleId="ff9">
    <w:name w:val="ff9"/>
    <w:basedOn w:val="DefaultParagraphFont"/>
    <w:rsid w:val="00546F33"/>
  </w:style>
  <w:style w:type="character" w:customStyle="1" w:styleId="ws19">
    <w:name w:val="ws19"/>
    <w:basedOn w:val="DefaultParagraphFont"/>
    <w:rsid w:val="00546F33"/>
  </w:style>
  <w:style w:type="character" w:customStyle="1" w:styleId="authors">
    <w:name w:val="authors"/>
    <w:basedOn w:val="DefaultParagraphFont"/>
    <w:rsid w:val="004B3CA5"/>
  </w:style>
  <w:style w:type="character" w:customStyle="1" w:styleId="date1">
    <w:name w:val="date1"/>
    <w:basedOn w:val="DefaultParagraphFont"/>
    <w:rsid w:val="004B3CA5"/>
  </w:style>
  <w:style w:type="character" w:customStyle="1" w:styleId="arttitle">
    <w:name w:val="art_title"/>
    <w:basedOn w:val="DefaultParagraphFont"/>
    <w:rsid w:val="004B3CA5"/>
  </w:style>
  <w:style w:type="character" w:customStyle="1" w:styleId="serialtitle">
    <w:name w:val="serial_title"/>
    <w:basedOn w:val="DefaultParagraphFont"/>
    <w:rsid w:val="004B3CA5"/>
  </w:style>
  <w:style w:type="character" w:customStyle="1" w:styleId="volumeissue">
    <w:name w:val="volume_issue"/>
    <w:basedOn w:val="DefaultParagraphFont"/>
    <w:rsid w:val="004B3CA5"/>
  </w:style>
  <w:style w:type="character" w:customStyle="1" w:styleId="pagerange">
    <w:name w:val="page_range"/>
    <w:basedOn w:val="DefaultParagraphFont"/>
    <w:rsid w:val="004B3CA5"/>
  </w:style>
  <w:style w:type="character" w:customStyle="1" w:styleId="doilink">
    <w:name w:val="doi_link"/>
    <w:basedOn w:val="DefaultParagraphFont"/>
    <w:rsid w:val="004B3CA5"/>
  </w:style>
  <w:style w:type="character" w:customStyle="1" w:styleId="publicationsdetailnormal">
    <w:name w:val="publicationsdetailnormal"/>
    <w:basedOn w:val="DefaultParagraphFont"/>
    <w:rsid w:val="00E4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6927">
      <w:bodyDiv w:val="1"/>
      <w:marLeft w:val="0"/>
      <w:marRight w:val="0"/>
      <w:marTop w:val="0"/>
      <w:marBottom w:val="0"/>
      <w:divBdr>
        <w:top w:val="none" w:sz="0" w:space="0" w:color="auto"/>
        <w:left w:val="none" w:sz="0" w:space="0" w:color="auto"/>
        <w:bottom w:val="none" w:sz="0" w:space="0" w:color="auto"/>
        <w:right w:val="none" w:sz="0" w:space="0" w:color="auto"/>
      </w:divBdr>
    </w:div>
    <w:div w:id="31419729">
      <w:bodyDiv w:val="1"/>
      <w:marLeft w:val="0"/>
      <w:marRight w:val="0"/>
      <w:marTop w:val="0"/>
      <w:marBottom w:val="0"/>
      <w:divBdr>
        <w:top w:val="none" w:sz="0" w:space="0" w:color="auto"/>
        <w:left w:val="none" w:sz="0" w:space="0" w:color="auto"/>
        <w:bottom w:val="none" w:sz="0" w:space="0" w:color="auto"/>
        <w:right w:val="none" w:sz="0" w:space="0" w:color="auto"/>
      </w:divBdr>
    </w:div>
    <w:div w:id="57289884">
      <w:bodyDiv w:val="1"/>
      <w:marLeft w:val="0"/>
      <w:marRight w:val="0"/>
      <w:marTop w:val="0"/>
      <w:marBottom w:val="0"/>
      <w:divBdr>
        <w:top w:val="none" w:sz="0" w:space="0" w:color="auto"/>
        <w:left w:val="none" w:sz="0" w:space="0" w:color="auto"/>
        <w:bottom w:val="none" w:sz="0" w:space="0" w:color="auto"/>
        <w:right w:val="none" w:sz="0" w:space="0" w:color="auto"/>
      </w:divBdr>
    </w:div>
    <w:div w:id="64499167">
      <w:bodyDiv w:val="1"/>
      <w:marLeft w:val="0"/>
      <w:marRight w:val="0"/>
      <w:marTop w:val="0"/>
      <w:marBottom w:val="0"/>
      <w:divBdr>
        <w:top w:val="none" w:sz="0" w:space="0" w:color="auto"/>
        <w:left w:val="none" w:sz="0" w:space="0" w:color="auto"/>
        <w:bottom w:val="none" w:sz="0" w:space="0" w:color="auto"/>
        <w:right w:val="none" w:sz="0" w:space="0" w:color="auto"/>
      </w:divBdr>
    </w:div>
    <w:div w:id="94448656">
      <w:bodyDiv w:val="1"/>
      <w:marLeft w:val="0"/>
      <w:marRight w:val="0"/>
      <w:marTop w:val="0"/>
      <w:marBottom w:val="0"/>
      <w:divBdr>
        <w:top w:val="none" w:sz="0" w:space="0" w:color="auto"/>
        <w:left w:val="none" w:sz="0" w:space="0" w:color="auto"/>
        <w:bottom w:val="none" w:sz="0" w:space="0" w:color="auto"/>
        <w:right w:val="none" w:sz="0" w:space="0" w:color="auto"/>
      </w:divBdr>
    </w:div>
    <w:div w:id="96144208">
      <w:bodyDiv w:val="1"/>
      <w:marLeft w:val="0"/>
      <w:marRight w:val="0"/>
      <w:marTop w:val="0"/>
      <w:marBottom w:val="0"/>
      <w:divBdr>
        <w:top w:val="none" w:sz="0" w:space="0" w:color="auto"/>
        <w:left w:val="none" w:sz="0" w:space="0" w:color="auto"/>
        <w:bottom w:val="none" w:sz="0" w:space="0" w:color="auto"/>
        <w:right w:val="none" w:sz="0" w:space="0" w:color="auto"/>
      </w:divBdr>
    </w:div>
    <w:div w:id="101077243">
      <w:bodyDiv w:val="1"/>
      <w:marLeft w:val="0"/>
      <w:marRight w:val="0"/>
      <w:marTop w:val="0"/>
      <w:marBottom w:val="0"/>
      <w:divBdr>
        <w:top w:val="none" w:sz="0" w:space="0" w:color="auto"/>
        <w:left w:val="none" w:sz="0" w:space="0" w:color="auto"/>
        <w:bottom w:val="none" w:sz="0" w:space="0" w:color="auto"/>
        <w:right w:val="none" w:sz="0" w:space="0" w:color="auto"/>
      </w:divBdr>
    </w:div>
    <w:div w:id="110394619">
      <w:bodyDiv w:val="1"/>
      <w:marLeft w:val="0"/>
      <w:marRight w:val="0"/>
      <w:marTop w:val="0"/>
      <w:marBottom w:val="0"/>
      <w:divBdr>
        <w:top w:val="none" w:sz="0" w:space="0" w:color="auto"/>
        <w:left w:val="none" w:sz="0" w:space="0" w:color="auto"/>
        <w:bottom w:val="none" w:sz="0" w:space="0" w:color="auto"/>
        <w:right w:val="none" w:sz="0" w:space="0" w:color="auto"/>
      </w:divBdr>
    </w:div>
    <w:div w:id="120811693">
      <w:bodyDiv w:val="1"/>
      <w:marLeft w:val="0"/>
      <w:marRight w:val="0"/>
      <w:marTop w:val="0"/>
      <w:marBottom w:val="0"/>
      <w:divBdr>
        <w:top w:val="none" w:sz="0" w:space="0" w:color="auto"/>
        <w:left w:val="none" w:sz="0" w:space="0" w:color="auto"/>
        <w:bottom w:val="none" w:sz="0" w:space="0" w:color="auto"/>
        <w:right w:val="none" w:sz="0" w:space="0" w:color="auto"/>
      </w:divBdr>
      <w:divsChild>
        <w:div w:id="1888370746">
          <w:marLeft w:val="0"/>
          <w:marRight w:val="0"/>
          <w:marTop w:val="0"/>
          <w:marBottom w:val="0"/>
          <w:divBdr>
            <w:top w:val="none" w:sz="0" w:space="0" w:color="auto"/>
            <w:left w:val="none" w:sz="0" w:space="0" w:color="auto"/>
            <w:bottom w:val="none" w:sz="0" w:space="0" w:color="auto"/>
            <w:right w:val="none" w:sz="0" w:space="0" w:color="auto"/>
          </w:divBdr>
          <w:divsChild>
            <w:div w:id="49503044">
              <w:marLeft w:val="0"/>
              <w:marRight w:val="0"/>
              <w:marTop w:val="0"/>
              <w:marBottom w:val="0"/>
              <w:divBdr>
                <w:top w:val="none" w:sz="0" w:space="0" w:color="auto"/>
                <w:left w:val="none" w:sz="0" w:space="0" w:color="auto"/>
                <w:bottom w:val="none" w:sz="0" w:space="0" w:color="auto"/>
                <w:right w:val="none" w:sz="0" w:space="0" w:color="auto"/>
              </w:divBdr>
              <w:divsChild>
                <w:div w:id="5575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9818">
      <w:bodyDiv w:val="1"/>
      <w:marLeft w:val="0"/>
      <w:marRight w:val="0"/>
      <w:marTop w:val="0"/>
      <w:marBottom w:val="0"/>
      <w:divBdr>
        <w:top w:val="none" w:sz="0" w:space="0" w:color="auto"/>
        <w:left w:val="none" w:sz="0" w:space="0" w:color="auto"/>
        <w:bottom w:val="none" w:sz="0" w:space="0" w:color="auto"/>
        <w:right w:val="none" w:sz="0" w:space="0" w:color="auto"/>
      </w:divBdr>
    </w:div>
    <w:div w:id="140852135">
      <w:bodyDiv w:val="1"/>
      <w:marLeft w:val="0"/>
      <w:marRight w:val="0"/>
      <w:marTop w:val="0"/>
      <w:marBottom w:val="0"/>
      <w:divBdr>
        <w:top w:val="none" w:sz="0" w:space="0" w:color="auto"/>
        <w:left w:val="none" w:sz="0" w:space="0" w:color="auto"/>
        <w:bottom w:val="none" w:sz="0" w:space="0" w:color="auto"/>
        <w:right w:val="none" w:sz="0" w:space="0" w:color="auto"/>
      </w:divBdr>
    </w:div>
    <w:div w:id="169102717">
      <w:bodyDiv w:val="1"/>
      <w:marLeft w:val="0"/>
      <w:marRight w:val="0"/>
      <w:marTop w:val="0"/>
      <w:marBottom w:val="0"/>
      <w:divBdr>
        <w:top w:val="none" w:sz="0" w:space="0" w:color="auto"/>
        <w:left w:val="none" w:sz="0" w:space="0" w:color="auto"/>
        <w:bottom w:val="none" w:sz="0" w:space="0" w:color="auto"/>
        <w:right w:val="none" w:sz="0" w:space="0" w:color="auto"/>
      </w:divBdr>
    </w:div>
    <w:div w:id="198325504">
      <w:bodyDiv w:val="1"/>
      <w:marLeft w:val="0"/>
      <w:marRight w:val="0"/>
      <w:marTop w:val="0"/>
      <w:marBottom w:val="0"/>
      <w:divBdr>
        <w:top w:val="none" w:sz="0" w:space="0" w:color="auto"/>
        <w:left w:val="none" w:sz="0" w:space="0" w:color="auto"/>
        <w:bottom w:val="none" w:sz="0" w:space="0" w:color="auto"/>
        <w:right w:val="none" w:sz="0" w:space="0" w:color="auto"/>
      </w:divBdr>
    </w:div>
    <w:div w:id="234779940">
      <w:bodyDiv w:val="1"/>
      <w:marLeft w:val="0"/>
      <w:marRight w:val="0"/>
      <w:marTop w:val="0"/>
      <w:marBottom w:val="0"/>
      <w:divBdr>
        <w:top w:val="none" w:sz="0" w:space="0" w:color="auto"/>
        <w:left w:val="none" w:sz="0" w:space="0" w:color="auto"/>
        <w:bottom w:val="none" w:sz="0" w:space="0" w:color="auto"/>
        <w:right w:val="none" w:sz="0" w:space="0" w:color="auto"/>
      </w:divBdr>
      <w:divsChild>
        <w:div w:id="1341812387">
          <w:marLeft w:val="0"/>
          <w:marRight w:val="0"/>
          <w:marTop w:val="0"/>
          <w:marBottom w:val="0"/>
          <w:divBdr>
            <w:top w:val="none" w:sz="0" w:space="0" w:color="auto"/>
            <w:left w:val="none" w:sz="0" w:space="0" w:color="auto"/>
            <w:bottom w:val="none" w:sz="0" w:space="0" w:color="auto"/>
            <w:right w:val="none" w:sz="0" w:space="0" w:color="auto"/>
          </w:divBdr>
          <w:divsChild>
            <w:div w:id="1049499495">
              <w:marLeft w:val="0"/>
              <w:marRight w:val="0"/>
              <w:marTop w:val="0"/>
              <w:marBottom w:val="0"/>
              <w:divBdr>
                <w:top w:val="none" w:sz="0" w:space="0" w:color="auto"/>
                <w:left w:val="none" w:sz="0" w:space="0" w:color="auto"/>
                <w:bottom w:val="none" w:sz="0" w:space="0" w:color="auto"/>
                <w:right w:val="none" w:sz="0" w:space="0" w:color="auto"/>
              </w:divBdr>
              <w:divsChild>
                <w:div w:id="17882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4651">
      <w:bodyDiv w:val="1"/>
      <w:marLeft w:val="0"/>
      <w:marRight w:val="0"/>
      <w:marTop w:val="0"/>
      <w:marBottom w:val="0"/>
      <w:divBdr>
        <w:top w:val="none" w:sz="0" w:space="0" w:color="auto"/>
        <w:left w:val="none" w:sz="0" w:space="0" w:color="auto"/>
        <w:bottom w:val="none" w:sz="0" w:space="0" w:color="auto"/>
        <w:right w:val="none" w:sz="0" w:space="0" w:color="auto"/>
      </w:divBdr>
      <w:divsChild>
        <w:div w:id="875000617">
          <w:marLeft w:val="0"/>
          <w:marRight w:val="0"/>
          <w:marTop w:val="0"/>
          <w:marBottom w:val="0"/>
          <w:divBdr>
            <w:top w:val="none" w:sz="0" w:space="0" w:color="auto"/>
            <w:left w:val="none" w:sz="0" w:space="0" w:color="auto"/>
            <w:bottom w:val="none" w:sz="0" w:space="0" w:color="auto"/>
            <w:right w:val="none" w:sz="0" w:space="0" w:color="auto"/>
          </w:divBdr>
          <w:divsChild>
            <w:div w:id="1566986017">
              <w:marLeft w:val="0"/>
              <w:marRight w:val="0"/>
              <w:marTop w:val="0"/>
              <w:marBottom w:val="0"/>
              <w:divBdr>
                <w:top w:val="none" w:sz="0" w:space="0" w:color="auto"/>
                <w:left w:val="none" w:sz="0" w:space="0" w:color="auto"/>
                <w:bottom w:val="none" w:sz="0" w:space="0" w:color="auto"/>
                <w:right w:val="none" w:sz="0" w:space="0" w:color="auto"/>
              </w:divBdr>
              <w:divsChild>
                <w:div w:id="10947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0847">
      <w:bodyDiv w:val="1"/>
      <w:marLeft w:val="0"/>
      <w:marRight w:val="0"/>
      <w:marTop w:val="0"/>
      <w:marBottom w:val="0"/>
      <w:divBdr>
        <w:top w:val="none" w:sz="0" w:space="0" w:color="auto"/>
        <w:left w:val="none" w:sz="0" w:space="0" w:color="auto"/>
        <w:bottom w:val="none" w:sz="0" w:space="0" w:color="auto"/>
        <w:right w:val="none" w:sz="0" w:space="0" w:color="auto"/>
      </w:divBdr>
    </w:div>
    <w:div w:id="246114168">
      <w:bodyDiv w:val="1"/>
      <w:marLeft w:val="0"/>
      <w:marRight w:val="0"/>
      <w:marTop w:val="0"/>
      <w:marBottom w:val="0"/>
      <w:divBdr>
        <w:top w:val="none" w:sz="0" w:space="0" w:color="auto"/>
        <w:left w:val="none" w:sz="0" w:space="0" w:color="auto"/>
        <w:bottom w:val="none" w:sz="0" w:space="0" w:color="auto"/>
        <w:right w:val="none" w:sz="0" w:space="0" w:color="auto"/>
      </w:divBdr>
      <w:divsChild>
        <w:div w:id="84345296">
          <w:marLeft w:val="0"/>
          <w:marRight w:val="0"/>
          <w:marTop w:val="0"/>
          <w:marBottom w:val="0"/>
          <w:divBdr>
            <w:top w:val="none" w:sz="0" w:space="0" w:color="auto"/>
            <w:left w:val="none" w:sz="0" w:space="0" w:color="auto"/>
            <w:bottom w:val="none" w:sz="0" w:space="0" w:color="auto"/>
            <w:right w:val="none" w:sz="0" w:space="0" w:color="auto"/>
          </w:divBdr>
          <w:divsChild>
            <w:div w:id="831723869">
              <w:marLeft w:val="0"/>
              <w:marRight w:val="0"/>
              <w:marTop w:val="0"/>
              <w:marBottom w:val="0"/>
              <w:divBdr>
                <w:top w:val="none" w:sz="0" w:space="0" w:color="auto"/>
                <w:left w:val="none" w:sz="0" w:space="0" w:color="auto"/>
                <w:bottom w:val="none" w:sz="0" w:space="0" w:color="auto"/>
                <w:right w:val="none" w:sz="0" w:space="0" w:color="auto"/>
              </w:divBdr>
              <w:divsChild>
                <w:div w:id="16498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11522">
      <w:bodyDiv w:val="1"/>
      <w:marLeft w:val="0"/>
      <w:marRight w:val="0"/>
      <w:marTop w:val="0"/>
      <w:marBottom w:val="0"/>
      <w:divBdr>
        <w:top w:val="none" w:sz="0" w:space="0" w:color="auto"/>
        <w:left w:val="none" w:sz="0" w:space="0" w:color="auto"/>
        <w:bottom w:val="none" w:sz="0" w:space="0" w:color="auto"/>
        <w:right w:val="none" w:sz="0" w:space="0" w:color="auto"/>
      </w:divBdr>
    </w:div>
    <w:div w:id="328023496">
      <w:bodyDiv w:val="1"/>
      <w:marLeft w:val="0"/>
      <w:marRight w:val="0"/>
      <w:marTop w:val="0"/>
      <w:marBottom w:val="0"/>
      <w:divBdr>
        <w:top w:val="none" w:sz="0" w:space="0" w:color="auto"/>
        <w:left w:val="none" w:sz="0" w:space="0" w:color="auto"/>
        <w:bottom w:val="none" w:sz="0" w:space="0" w:color="auto"/>
        <w:right w:val="none" w:sz="0" w:space="0" w:color="auto"/>
      </w:divBdr>
    </w:div>
    <w:div w:id="358552491">
      <w:bodyDiv w:val="1"/>
      <w:marLeft w:val="0"/>
      <w:marRight w:val="0"/>
      <w:marTop w:val="0"/>
      <w:marBottom w:val="0"/>
      <w:divBdr>
        <w:top w:val="none" w:sz="0" w:space="0" w:color="auto"/>
        <w:left w:val="none" w:sz="0" w:space="0" w:color="auto"/>
        <w:bottom w:val="none" w:sz="0" w:space="0" w:color="auto"/>
        <w:right w:val="none" w:sz="0" w:space="0" w:color="auto"/>
      </w:divBdr>
      <w:divsChild>
        <w:div w:id="517238409">
          <w:marLeft w:val="0"/>
          <w:marRight w:val="0"/>
          <w:marTop w:val="0"/>
          <w:marBottom w:val="0"/>
          <w:divBdr>
            <w:top w:val="none" w:sz="0" w:space="0" w:color="auto"/>
            <w:left w:val="none" w:sz="0" w:space="0" w:color="auto"/>
            <w:bottom w:val="none" w:sz="0" w:space="0" w:color="auto"/>
            <w:right w:val="none" w:sz="0" w:space="0" w:color="auto"/>
          </w:divBdr>
          <w:divsChild>
            <w:div w:id="127672853">
              <w:marLeft w:val="0"/>
              <w:marRight w:val="0"/>
              <w:marTop w:val="0"/>
              <w:marBottom w:val="0"/>
              <w:divBdr>
                <w:top w:val="none" w:sz="0" w:space="0" w:color="auto"/>
                <w:left w:val="none" w:sz="0" w:space="0" w:color="auto"/>
                <w:bottom w:val="none" w:sz="0" w:space="0" w:color="auto"/>
                <w:right w:val="none" w:sz="0" w:space="0" w:color="auto"/>
              </w:divBdr>
              <w:divsChild>
                <w:div w:id="1732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01014">
      <w:bodyDiv w:val="1"/>
      <w:marLeft w:val="0"/>
      <w:marRight w:val="0"/>
      <w:marTop w:val="0"/>
      <w:marBottom w:val="0"/>
      <w:divBdr>
        <w:top w:val="none" w:sz="0" w:space="0" w:color="auto"/>
        <w:left w:val="none" w:sz="0" w:space="0" w:color="auto"/>
        <w:bottom w:val="none" w:sz="0" w:space="0" w:color="auto"/>
        <w:right w:val="none" w:sz="0" w:space="0" w:color="auto"/>
      </w:divBdr>
    </w:div>
    <w:div w:id="523440834">
      <w:bodyDiv w:val="1"/>
      <w:marLeft w:val="0"/>
      <w:marRight w:val="0"/>
      <w:marTop w:val="0"/>
      <w:marBottom w:val="0"/>
      <w:divBdr>
        <w:top w:val="none" w:sz="0" w:space="0" w:color="auto"/>
        <w:left w:val="none" w:sz="0" w:space="0" w:color="auto"/>
        <w:bottom w:val="none" w:sz="0" w:space="0" w:color="auto"/>
        <w:right w:val="none" w:sz="0" w:space="0" w:color="auto"/>
      </w:divBdr>
    </w:div>
    <w:div w:id="572275495">
      <w:bodyDiv w:val="1"/>
      <w:marLeft w:val="0"/>
      <w:marRight w:val="0"/>
      <w:marTop w:val="0"/>
      <w:marBottom w:val="0"/>
      <w:divBdr>
        <w:top w:val="none" w:sz="0" w:space="0" w:color="auto"/>
        <w:left w:val="none" w:sz="0" w:space="0" w:color="auto"/>
        <w:bottom w:val="none" w:sz="0" w:space="0" w:color="auto"/>
        <w:right w:val="none" w:sz="0" w:space="0" w:color="auto"/>
      </w:divBdr>
    </w:div>
    <w:div w:id="590043980">
      <w:bodyDiv w:val="1"/>
      <w:marLeft w:val="0"/>
      <w:marRight w:val="0"/>
      <w:marTop w:val="0"/>
      <w:marBottom w:val="0"/>
      <w:divBdr>
        <w:top w:val="none" w:sz="0" w:space="0" w:color="auto"/>
        <w:left w:val="none" w:sz="0" w:space="0" w:color="auto"/>
        <w:bottom w:val="none" w:sz="0" w:space="0" w:color="auto"/>
        <w:right w:val="none" w:sz="0" w:space="0" w:color="auto"/>
      </w:divBdr>
    </w:div>
    <w:div w:id="593782111">
      <w:bodyDiv w:val="1"/>
      <w:marLeft w:val="0"/>
      <w:marRight w:val="0"/>
      <w:marTop w:val="0"/>
      <w:marBottom w:val="0"/>
      <w:divBdr>
        <w:top w:val="none" w:sz="0" w:space="0" w:color="auto"/>
        <w:left w:val="none" w:sz="0" w:space="0" w:color="auto"/>
        <w:bottom w:val="none" w:sz="0" w:space="0" w:color="auto"/>
        <w:right w:val="none" w:sz="0" w:space="0" w:color="auto"/>
      </w:divBdr>
    </w:div>
    <w:div w:id="596642397">
      <w:bodyDiv w:val="1"/>
      <w:marLeft w:val="0"/>
      <w:marRight w:val="0"/>
      <w:marTop w:val="0"/>
      <w:marBottom w:val="0"/>
      <w:divBdr>
        <w:top w:val="none" w:sz="0" w:space="0" w:color="auto"/>
        <w:left w:val="none" w:sz="0" w:space="0" w:color="auto"/>
        <w:bottom w:val="none" w:sz="0" w:space="0" w:color="auto"/>
        <w:right w:val="none" w:sz="0" w:space="0" w:color="auto"/>
      </w:divBdr>
    </w:div>
    <w:div w:id="605191324">
      <w:bodyDiv w:val="1"/>
      <w:marLeft w:val="0"/>
      <w:marRight w:val="0"/>
      <w:marTop w:val="0"/>
      <w:marBottom w:val="0"/>
      <w:divBdr>
        <w:top w:val="none" w:sz="0" w:space="0" w:color="auto"/>
        <w:left w:val="none" w:sz="0" w:space="0" w:color="auto"/>
        <w:bottom w:val="none" w:sz="0" w:space="0" w:color="auto"/>
        <w:right w:val="none" w:sz="0" w:space="0" w:color="auto"/>
      </w:divBdr>
    </w:div>
    <w:div w:id="627589574">
      <w:bodyDiv w:val="1"/>
      <w:marLeft w:val="0"/>
      <w:marRight w:val="0"/>
      <w:marTop w:val="0"/>
      <w:marBottom w:val="0"/>
      <w:divBdr>
        <w:top w:val="none" w:sz="0" w:space="0" w:color="auto"/>
        <w:left w:val="none" w:sz="0" w:space="0" w:color="auto"/>
        <w:bottom w:val="none" w:sz="0" w:space="0" w:color="auto"/>
        <w:right w:val="none" w:sz="0" w:space="0" w:color="auto"/>
      </w:divBdr>
    </w:div>
    <w:div w:id="662929337">
      <w:bodyDiv w:val="1"/>
      <w:marLeft w:val="0"/>
      <w:marRight w:val="0"/>
      <w:marTop w:val="0"/>
      <w:marBottom w:val="0"/>
      <w:divBdr>
        <w:top w:val="none" w:sz="0" w:space="0" w:color="auto"/>
        <w:left w:val="none" w:sz="0" w:space="0" w:color="auto"/>
        <w:bottom w:val="none" w:sz="0" w:space="0" w:color="auto"/>
        <w:right w:val="none" w:sz="0" w:space="0" w:color="auto"/>
      </w:divBdr>
      <w:divsChild>
        <w:div w:id="1273125611">
          <w:marLeft w:val="0"/>
          <w:marRight w:val="0"/>
          <w:marTop w:val="0"/>
          <w:marBottom w:val="0"/>
          <w:divBdr>
            <w:top w:val="none" w:sz="0" w:space="0" w:color="auto"/>
            <w:left w:val="none" w:sz="0" w:space="0" w:color="auto"/>
            <w:bottom w:val="none" w:sz="0" w:space="0" w:color="auto"/>
            <w:right w:val="none" w:sz="0" w:space="0" w:color="auto"/>
          </w:divBdr>
        </w:div>
        <w:div w:id="2122606620">
          <w:marLeft w:val="0"/>
          <w:marRight w:val="0"/>
          <w:marTop w:val="0"/>
          <w:marBottom w:val="0"/>
          <w:divBdr>
            <w:top w:val="none" w:sz="0" w:space="0" w:color="auto"/>
            <w:left w:val="none" w:sz="0" w:space="0" w:color="auto"/>
            <w:bottom w:val="none" w:sz="0" w:space="0" w:color="auto"/>
            <w:right w:val="none" w:sz="0" w:space="0" w:color="auto"/>
          </w:divBdr>
        </w:div>
        <w:div w:id="1113211128">
          <w:marLeft w:val="0"/>
          <w:marRight w:val="0"/>
          <w:marTop w:val="0"/>
          <w:marBottom w:val="0"/>
          <w:divBdr>
            <w:top w:val="none" w:sz="0" w:space="0" w:color="auto"/>
            <w:left w:val="none" w:sz="0" w:space="0" w:color="auto"/>
            <w:bottom w:val="none" w:sz="0" w:space="0" w:color="auto"/>
            <w:right w:val="none" w:sz="0" w:space="0" w:color="auto"/>
          </w:divBdr>
          <w:divsChild>
            <w:div w:id="824932210">
              <w:marLeft w:val="0"/>
              <w:marRight w:val="0"/>
              <w:marTop w:val="0"/>
              <w:marBottom w:val="480"/>
              <w:divBdr>
                <w:top w:val="none" w:sz="0" w:space="0" w:color="auto"/>
                <w:left w:val="none" w:sz="0" w:space="0" w:color="auto"/>
                <w:bottom w:val="none" w:sz="0" w:space="0" w:color="auto"/>
                <w:right w:val="none" w:sz="0" w:space="0" w:color="auto"/>
              </w:divBdr>
            </w:div>
            <w:div w:id="2126464714">
              <w:marLeft w:val="0"/>
              <w:marRight w:val="0"/>
              <w:marTop w:val="0"/>
              <w:marBottom w:val="480"/>
              <w:divBdr>
                <w:top w:val="none" w:sz="0" w:space="0" w:color="auto"/>
                <w:left w:val="none" w:sz="0" w:space="0" w:color="auto"/>
                <w:bottom w:val="none" w:sz="0" w:space="0" w:color="auto"/>
                <w:right w:val="none" w:sz="0" w:space="0" w:color="auto"/>
              </w:divBdr>
            </w:div>
          </w:divsChild>
        </w:div>
        <w:div w:id="2076706259">
          <w:marLeft w:val="0"/>
          <w:marRight w:val="0"/>
          <w:marTop w:val="0"/>
          <w:marBottom w:val="0"/>
          <w:divBdr>
            <w:top w:val="none" w:sz="0" w:space="0" w:color="auto"/>
            <w:left w:val="none" w:sz="0" w:space="0" w:color="auto"/>
            <w:bottom w:val="none" w:sz="0" w:space="0" w:color="auto"/>
            <w:right w:val="none" w:sz="0" w:space="0" w:color="auto"/>
          </w:divBdr>
          <w:divsChild>
            <w:div w:id="2067533778">
              <w:marLeft w:val="0"/>
              <w:marRight w:val="0"/>
              <w:marTop w:val="0"/>
              <w:marBottom w:val="120"/>
              <w:divBdr>
                <w:top w:val="none" w:sz="0" w:space="0" w:color="auto"/>
                <w:left w:val="none" w:sz="0" w:space="0" w:color="auto"/>
                <w:bottom w:val="none" w:sz="0" w:space="0" w:color="auto"/>
                <w:right w:val="none" w:sz="0" w:space="0" w:color="auto"/>
              </w:divBdr>
            </w:div>
          </w:divsChild>
        </w:div>
        <w:div w:id="1227836919">
          <w:marLeft w:val="0"/>
          <w:marRight w:val="0"/>
          <w:marTop w:val="0"/>
          <w:marBottom w:val="0"/>
          <w:divBdr>
            <w:top w:val="none" w:sz="0" w:space="0" w:color="auto"/>
            <w:left w:val="none" w:sz="0" w:space="0" w:color="auto"/>
            <w:bottom w:val="none" w:sz="0" w:space="0" w:color="auto"/>
            <w:right w:val="none" w:sz="0" w:space="0" w:color="auto"/>
          </w:divBdr>
          <w:divsChild>
            <w:div w:id="1529125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6733342">
      <w:bodyDiv w:val="1"/>
      <w:marLeft w:val="0"/>
      <w:marRight w:val="0"/>
      <w:marTop w:val="0"/>
      <w:marBottom w:val="0"/>
      <w:divBdr>
        <w:top w:val="none" w:sz="0" w:space="0" w:color="auto"/>
        <w:left w:val="none" w:sz="0" w:space="0" w:color="auto"/>
        <w:bottom w:val="none" w:sz="0" w:space="0" w:color="auto"/>
        <w:right w:val="none" w:sz="0" w:space="0" w:color="auto"/>
      </w:divBdr>
    </w:div>
    <w:div w:id="689337510">
      <w:bodyDiv w:val="1"/>
      <w:marLeft w:val="0"/>
      <w:marRight w:val="0"/>
      <w:marTop w:val="0"/>
      <w:marBottom w:val="0"/>
      <w:divBdr>
        <w:top w:val="none" w:sz="0" w:space="0" w:color="auto"/>
        <w:left w:val="none" w:sz="0" w:space="0" w:color="auto"/>
        <w:bottom w:val="none" w:sz="0" w:space="0" w:color="auto"/>
        <w:right w:val="none" w:sz="0" w:space="0" w:color="auto"/>
      </w:divBdr>
    </w:div>
    <w:div w:id="699089798">
      <w:bodyDiv w:val="1"/>
      <w:marLeft w:val="0"/>
      <w:marRight w:val="0"/>
      <w:marTop w:val="0"/>
      <w:marBottom w:val="0"/>
      <w:divBdr>
        <w:top w:val="none" w:sz="0" w:space="0" w:color="auto"/>
        <w:left w:val="none" w:sz="0" w:space="0" w:color="auto"/>
        <w:bottom w:val="none" w:sz="0" w:space="0" w:color="auto"/>
        <w:right w:val="none" w:sz="0" w:space="0" w:color="auto"/>
      </w:divBdr>
      <w:divsChild>
        <w:div w:id="61414680">
          <w:marLeft w:val="0"/>
          <w:marRight w:val="0"/>
          <w:marTop w:val="0"/>
          <w:marBottom w:val="0"/>
          <w:divBdr>
            <w:top w:val="none" w:sz="0" w:space="0" w:color="auto"/>
            <w:left w:val="none" w:sz="0" w:space="0" w:color="auto"/>
            <w:bottom w:val="none" w:sz="0" w:space="0" w:color="auto"/>
            <w:right w:val="none" w:sz="0" w:space="0" w:color="auto"/>
          </w:divBdr>
          <w:divsChild>
            <w:div w:id="1238589383">
              <w:marLeft w:val="0"/>
              <w:marRight w:val="0"/>
              <w:marTop w:val="0"/>
              <w:marBottom w:val="0"/>
              <w:divBdr>
                <w:top w:val="none" w:sz="0" w:space="0" w:color="auto"/>
                <w:left w:val="none" w:sz="0" w:space="0" w:color="auto"/>
                <w:bottom w:val="none" w:sz="0" w:space="0" w:color="auto"/>
                <w:right w:val="none" w:sz="0" w:space="0" w:color="auto"/>
              </w:divBdr>
              <w:divsChild>
                <w:div w:id="5757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5565">
      <w:bodyDiv w:val="1"/>
      <w:marLeft w:val="0"/>
      <w:marRight w:val="0"/>
      <w:marTop w:val="0"/>
      <w:marBottom w:val="0"/>
      <w:divBdr>
        <w:top w:val="none" w:sz="0" w:space="0" w:color="auto"/>
        <w:left w:val="none" w:sz="0" w:space="0" w:color="auto"/>
        <w:bottom w:val="none" w:sz="0" w:space="0" w:color="auto"/>
        <w:right w:val="none" w:sz="0" w:space="0" w:color="auto"/>
      </w:divBdr>
      <w:divsChild>
        <w:div w:id="1139806557">
          <w:marLeft w:val="0"/>
          <w:marRight w:val="0"/>
          <w:marTop w:val="0"/>
          <w:marBottom w:val="0"/>
          <w:divBdr>
            <w:top w:val="none" w:sz="0" w:space="0" w:color="auto"/>
            <w:left w:val="none" w:sz="0" w:space="0" w:color="auto"/>
            <w:bottom w:val="none" w:sz="0" w:space="0" w:color="auto"/>
            <w:right w:val="none" w:sz="0" w:space="0" w:color="auto"/>
          </w:divBdr>
          <w:divsChild>
            <w:div w:id="1152138720">
              <w:marLeft w:val="0"/>
              <w:marRight w:val="0"/>
              <w:marTop w:val="0"/>
              <w:marBottom w:val="0"/>
              <w:divBdr>
                <w:top w:val="none" w:sz="0" w:space="0" w:color="auto"/>
                <w:left w:val="none" w:sz="0" w:space="0" w:color="auto"/>
                <w:bottom w:val="none" w:sz="0" w:space="0" w:color="auto"/>
                <w:right w:val="none" w:sz="0" w:space="0" w:color="auto"/>
              </w:divBdr>
              <w:divsChild>
                <w:div w:id="15886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3758">
      <w:bodyDiv w:val="1"/>
      <w:marLeft w:val="0"/>
      <w:marRight w:val="0"/>
      <w:marTop w:val="0"/>
      <w:marBottom w:val="0"/>
      <w:divBdr>
        <w:top w:val="none" w:sz="0" w:space="0" w:color="auto"/>
        <w:left w:val="none" w:sz="0" w:space="0" w:color="auto"/>
        <w:bottom w:val="none" w:sz="0" w:space="0" w:color="auto"/>
        <w:right w:val="none" w:sz="0" w:space="0" w:color="auto"/>
      </w:divBdr>
    </w:div>
    <w:div w:id="787312510">
      <w:bodyDiv w:val="1"/>
      <w:marLeft w:val="0"/>
      <w:marRight w:val="0"/>
      <w:marTop w:val="0"/>
      <w:marBottom w:val="0"/>
      <w:divBdr>
        <w:top w:val="none" w:sz="0" w:space="0" w:color="auto"/>
        <w:left w:val="none" w:sz="0" w:space="0" w:color="auto"/>
        <w:bottom w:val="none" w:sz="0" w:space="0" w:color="auto"/>
        <w:right w:val="none" w:sz="0" w:space="0" w:color="auto"/>
      </w:divBdr>
    </w:div>
    <w:div w:id="858354589">
      <w:bodyDiv w:val="1"/>
      <w:marLeft w:val="0"/>
      <w:marRight w:val="0"/>
      <w:marTop w:val="0"/>
      <w:marBottom w:val="0"/>
      <w:divBdr>
        <w:top w:val="none" w:sz="0" w:space="0" w:color="auto"/>
        <w:left w:val="none" w:sz="0" w:space="0" w:color="auto"/>
        <w:bottom w:val="none" w:sz="0" w:space="0" w:color="auto"/>
        <w:right w:val="none" w:sz="0" w:space="0" w:color="auto"/>
      </w:divBdr>
    </w:div>
    <w:div w:id="872232037">
      <w:bodyDiv w:val="1"/>
      <w:marLeft w:val="0"/>
      <w:marRight w:val="0"/>
      <w:marTop w:val="0"/>
      <w:marBottom w:val="0"/>
      <w:divBdr>
        <w:top w:val="none" w:sz="0" w:space="0" w:color="auto"/>
        <w:left w:val="none" w:sz="0" w:space="0" w:color="auto"/>
        <w:bottom w:val="none" w:sz="0" w:space="0" w:color="auto"/>
        <w:right w:val="none" w:sz="0" w:space="0" w:color="auto"/>
      </w:divBdr>
    </w:div>
    <w:div w:id="880360273">
      <w:bodyDiv w:val="1"/>
      <w:marLeft w:val="0"/>
      <w:marRight w:val="0"/>
      <w:marTop w:val="0"/>
      <w:marBottom w:val="0"/>
      <w:divBdr>
        <w:top w:val="none" w:sz="0" w:space="0" w:color="auto"/>
        <w:left w:val="none" w:sz="0" w:space="0" w:color="auto"/>
        <w:bottom w:val="none" w:sz="0" w:space="0" w:color="auto"/>
        <w:right w:val="none" w:sz="0" w:space="0" w:color="auto"/>
      </w:divBdr>
    </w:div>
    <w:div w:id="894509071">
      <w:bodyDiv w:val="1"/>
      <w:marLeft w:val="0"/>
      <w:marRight w:val="0"/>
      <w:marTop w:val="0"/>
      <w:marBottom w:val="0"/>
      <w:divBdr>
        <w:top w:val="none" w:sz="0" w:space="0" w:color="auto"/>
        <w:left w:val="none" w:sz="0" w:space="0" w:color="auto"/>
        <w:bottom w:val="none" w:sz="0" w:space="0" w:color="auto"/>
        <w:right w:val="none" w:sz="0" w:space="0" w:color="auto"/>
      </w:divBdr>
    </w:div>
    <w:div w:id="930159363">
      <w:bodyDiv w:val="1"/>
      <w:marLeft w:val="0"/>
      <w:marRight w:val="0"/>
      <w:marTop w:val="0"/>
      <w:marBottom w:val="0"/>
      <w:divBdr>
        <w:top w:val="none" w:sz="0" w:space="0" w:color="auto"/>
        <w:left w:val="none" w:sz="0" w:space="0" w:color="auto"/>
        <w:bottom w:val="none" w:sz="0" w:space="0" w:color="auto"/>
        <w:right w:val="none" w:sz="0" w:space="0" w:color="auto"/>
      </w:divBdr>
    </w:div>
    <w:div w:id="951131042">
      <w:bodyDiv w:val="1"/>
      <w:marLeft w:val="0"/>
      <w:marRight w:val="0"/>
      <w:marTop w:val="0"/>
      <w:marBottom w:val="0"/>
      <w:divBdr>
        <w:top w:val="none" w:sz="0" w:space="0" w:color="auto"/>
        <w:left w:val="none" w:sz="0" w:space="0" w:color="auto"/>
        <w:bottom w:val="none" w:sz="0" w:space="0" w:color="auto"/>
        <w:right w:val="none" w:sz="0" w:space="0" w:color="auto"/>
      </w:divBdr>
    </w:div>
    <w:div w:id="951285061">
      <w:bodyDiv w:val="1"/>
      <w:marLeft w:val="0"/>
      <w:marRight w:val="0"/>
      <w:marTop w:val="0"/>
      <w:marBottom w:val="0"/>
      <w:divBdr>
        <w:top w:val="none" w:sz="0" w:space="0" w:color="auto"/>
        <w:left w:val="none" w:sz="0" w:space="0" w:color="auto"/>
        <w:bottom w:val="none" w:sz="0" w:space="0" w:color="auto"/>
        <w:right w:val="none" w:sz="0" w:space="0" w:color="auto"/>
      </w:divBdr>
      <w:divsChild>
        <w:div w:id="1442914771">
          <w:marLeft w:val="0"/>
          <w:marRight w:val="0"/>
          <w:marTop w:val="0"/>
          <w:marBottom w:val="0"/>
          <w:divBdr>
            <w:top w:val="none" w:sz="0" w:space="0" w:color="auto"/>
            <w:left w:val="none" w:sz="0" w:space="0" w:color="auto"/>
            <w:bottom w:val="none" w:sz="0" w:space="0" w:color="auto"/>
            <w:right w:val="none" w:sz="0" w:space="0" w:color="auto"/>
          </w:divBdr>
          <w:divsChild>
            <w:div w:id="378821007">
              <w:marLeft w:val="0"/>
              <w:marRight w:val="0"/>
              <w:marTop w:val="0"/>
              <w:marBottom w:val="0"/>
              <w:divBdr>
                <w:top w:val="none" w:sz="0" w:space="0" w:color="auto"/>
                <w:left w:val="none" w:sz="0" w:space="0" w:color="auto"/>
                <w:bottom w:val="none" w:sz="0" w:space="0" w:color="auto"/>
                <w:right w:val="none" w:sz="0" w:space="0" w:color="auto"/>
              </w:divBdr>
              <w:divsChild>
                <w:div w:id="11717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3774">
      <w:bodyDiv w:val="1"/>
      <w:marLeft w:val="0"/>
      <w:marRight w:val="0"/>
      <w:marTop w:val="0"/>
      <w:marBottom w:val="0"/>
      <w:divBdr>
        <w:top w:val="none" w:sz="0" w:space="0" w:color="auto"/>
        <w:left w:val="none" w:sz="0" w:space="0" w:color="auto"/>
        <w:bottom w:val="none" w:sz="0" w:space="0" w:color="auto"/>
        <w:right w:val="none" w:sz="0" w:space="0" w:color="auto"/>
      </w:divBdr>
    </w:div>
    <w:div w:id="960384211">
      <w:bodyDiv w:val="1"/>
      <w:marLeft w:val="0"/>
      <w:marRight w:val="0"/>
      <w:marTop w:val="0"/>
      <w:marBottom w:val="0"/>
      <w:divBdr>
        <w:top w:val="none" w:sz="0" w:space="0" w:color="auto"/>
        <w:left w:val="none" w:sz="0" w:space="0" w:color="auto"/>
        <w:bottom w:val="none" w:sz="0" w:space="0" w:color="auto"/>
        <w:right w:val="none" w:sz="0" w:space="0" w:color="auto"/>
      </w:divBdr>
    </w:div>
    <w:div w:id="977615135">
      <w:bodyDiv w:val="1"/>
      <w:marLeft w:val="0"/>
      <w:marRight w:val="0"/>
      <w:marTop w:val="0"/>
      <w:marBottom w:val="0"/>
      <w:divBdr>
        <w:top w:val="none" w:sz="0" w:space="0" w:color="auto"/>
        <w:left w:val="none" w:sz="0" w:space="0" w:color="auto"/>
        <w:bottom w:val="none" w:sz="0" w:space="0" w:color="auto"/>
        <w:right w:val="none" w:sz="0" w:space="0" w:color="auto"/>
      </w:divBdr>
    </w:div>
    <w:div w:id="977682852">
      <w:bodyDiv w:val="1"/>
      <w:marLeft w:val="0"/>
      <w:marRight w:val="0"/>
      <w:marTop w:val="0"/>
      <w:marBottom w:val="0"/>
      <w:divBdr>
        <w:top w:val="none" w:sz="0" w:space="0" w:color="auto"/>
        <w:left w:val="none" w:sz="0" w:space="0" w:color="auto"/>
        <w:bottom w:val="none" w:sz="0" w:space="0" w:color="auto"/>
        <w:right w:val="none" w:sz="0" w:space="0" w:color="auto"/>
      </w:divBdr>
    </w:div>
    <w:div w:id="1015109000">
      <w:bodyDiv w:val="1"/>
      <w:marLeft w:val="0"/>
      <w:marRight w:val="0"/>
      <w:marTop w:val="0"/>
      <w:marBottom w:val="0"/>
      <w:divBdr>
        <w:top w:val="none" w:sz="0" w:space="0" w:color="auto"/>
        <w:left w:val="none" w:sz="0" w:space="0" w:color="auto"/>
        <w:bottom w:val="none" w:sz="0" w:space="0" w:color="auto"/>
        <w:right w:val="none" w:sz="0" w:space="0" w:color="auto"/>
      </w:divBdr>
      <w:divsChild>
        <w:div w:id="1590197338">
          <w:marLeft w:val="0"/>
          <w:marRight w:val="0"/>
          <w:marTop w:val="0"/>
          <w:marBottom w:val="0"/>
          <w:divBdr>
            <w:top w:val="none" w:sz="0" w:space="0" w:color="auto"/>
            <w:left w:val="none" w:sz="0" w:space="0" w:color="auto"/>
            <w:bottom w:val="none" w:sz="0" w:space="0" w:color="auto"/>
            <w:right w:val="none" w:sz="0" w:space="0" w:color="auto"/>
          </w:divBdr>
          <w:divsChild>
            <w:div w:id="1824152438">
              <w:marLeft w:val="0"/>
              <w:marRight w:val="0"/>
              <w:marTop w:val="0"/>
              <w:marBottom w:val="0"/>
              <w:divBdr>
                <w:top w:val="none" w:sz="0" w:space="0" w:color="auto"/>
                <w:left w:val="none" w:sz="0" w:space="0" w:color="auto"/>
                <w:bottom w:val="none" w:sz="0" w:space="0" w:color="auto"/>
                <w:right w:val="none" w:sz="0" w:space="0" w:color="auto"/>
              </w:divBdr>
              <w:divsChild>
                <w:div w:id="1661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9717">
      <w:bodyDiv w:val="1"/>
      <w:marLeft w:val="0"/>
      <w:marRight w:val="0"/>
      <w:marTop w:val="0"/>
      <w:marBottom w:val="0"/>
      <w:divBdr>
        <w:top w:val="none" w:sz="0" w:space="0" w:color="auto"/>
        <w:left w:val="none" w:sz="0" w:space="0" w:color="auto"/>
        <w:bottom w:val="none" w:sz="0" w:space="0" w:color="auto"/>
        <w:right w:val="none" w:sz="0" w:space="0" w:color="auto"/>
      </w:divBdr>
    </w:div>
    <w:div w:id="1100680259">
      <w:bodyDiv w:val="1"/>
      <w:marLeft w:val="0"/>
      <w:marRight w:val="0"/>
      <w:marTop w:val="0"/>
      <w:marBottom w:val="0"/>
      <w:divBdr>
        <w:top w:val="none" w:sz="0" w:space="0" w:color="auto"/>
        <w:left w:val="none" w:sz="0" w:space="0" w:color="auto"/>
        <w:bottom w:val="none" w:sz="0" w:space="0" w:color="auto"/>
        <w:right w:val="none" w:sz="0" w:space="0" w:color="auto"/>
      </w:divBdr>
    </w:div>
    <w:div w:id="1111974937">
      <w:bodyDiv w:val="1"/>
      <w:marLeft w:val="0"/>
      <w:marRight w:val="0"/>
      <w:marTop w:val="0"/>
      <w:marBottom w:val="0"/>
      <w:divBdr>
        <w:top w:val="none" w:sz="0" w:space="0" w:color="auto"/>
        <w:left w:val="none" w:sz="0" w:space="0" w:color="auto"/>
        <w:bottom w:val="none" w:sz="0" w:space="0" w:color="auto"/>
        <w:right w:val="none" w:sz="0" w:space="0" w:color="auto"/>
      </w:divBdr>
    </w:div>
    <w:div w:id="1139305546">
      <w:bodyDiv w:val="1"/>
      <w:marLeft w:val="0"/>
      <w:marRight w:val="0"/>
      <w:marTop w:val="0"/>
      <w:marBottom w:val="0"/>
      <w:divBdr>
        <w:top w:val="none" w:sz="0" w:space="0" w:color="auto"/>
        <w:left w:val="none" w:sz="0" w:space="0" w:color="auto"/>
        <w:bottom w:val="none" w:sz="0" w:space="0" w:color="auto"/>
        <w:right w:val="none" w:sz="0" w:space="0" w:color="auto"/>
      </w:divBdr>
    </w:div>
    <w:div w:id="1140028579">
      <w:bodyDiv w:val="1"/>
      <w:marLeft w:val="0"/>
      <w:marRight w:val="0"/>
      <w:marTop w:val="0"/>
      <w:marBottom w:val="0"/>
      <w:divBdr>
        <w:top w:val="none" w:sz="0" w:space="0" w:color="auto"/>
        <w:left w:val="none" w:sz="0" w:space="0" w:color="auto"/>
        <w:bottom w:val="none" w:sz="0" w:space="0" w:color="auto"/>
        <w:right w:val="none" w:sz="0" w:space="0" w:color="auto"/>
      </w:divBdr>
    </w:div>
    <w:div w:id="1147161507">
      <w:bodyDiv w:val="1"/>
      <w:marLeft w:val="0"/>
      <w:marRight w:val="0"/>
      <w:marTop w:val="0"/>
      <w:marBottom w:val="0"/>
      <w:divBdr>
        <w:top w:val="none" w:sz="0" w:space="0" w:color="auto"/>
        <w:left w:val="none" w:sz="0" w:space="0" w:color="auto"/>
        <w:bottom w:val="none" w:sz="0" w:space="0" w:color="auto"/>
        <w:right w:val="none" w:sz="0" w:space="0" w:color="auto"/>
      </w:divBdr>
    </w:div>
    <w:div w:id="1215506959">
      <w:bodyDiv w:val="1"/>
      <w:marLeft w:val="0"/>
      <w:marRight w:val="0"/>
      <w:marTop w:val="0"/>
      <w:marBottom w:val="0"/>
      <w:divBdr>
        <w:top w:val="none" w:sz="0" w:space="0" w:color="auto"/>
        <w:left w:val="none" w:sz="0" w:space="0" w:color="auto"/>
        <w:bottom w:val="none" w:sz="0" w:space="0" w:color="auto"/>
        <w:right w:val="none" w:sz="0" w:space="0" w:color="auto"/>
      </w:divBdr>
    </w:div>
    <w:div w:id="1237672436">
      <w:bodyDiv w:val="1"/>
      <w:marLeft w:val="0"/>
      <w:marRight w:val="0"/>
      <w:marTop w:val="0"/>
      <w:marBottom w:val="0"/>
      <w:divBdr>
        <w:top w:val="none" w:sz="0" w:space="0" w:color="auto"/>
        <w:left w:val="none" w:sz="0" w:space="0" w:color="auto"/>
        <w:bottom w:val="none" w:sz="0" w:space="0" w:color="auto"/>
        <w:right w:val="none" w:sz="0" w:space="0" w:color="auto"/>
      </w:divBdr>
      <w:divsChild>
        <w:div w:id="1394619087">
          <w:marLeft w:val="0"/>
          <w:marRight w:val="0"/>
          <w:marTop w:val="0"/>
          <w:marBottom w:val="0"/>
          <w:divBdr>
            <w:top w:val="none" w:sz="0" w:space="0" w:color="auto"/>
            <w:left w:val="none" w:sz="0" w:space="0" w:color="auto"/>
            <w:bottom w:val="none" w:sz="0" w:space="0" w:color="auto"/>
            <w:right w:val="none" w:sz="0" w:space="0" w:color="auto"/>
          </w:divBdr>
          <w:divsChild>
            <w:div w:id="2043899921">
              <w:marLeft w:val="0"/>
              <w:marRight w:val="0"/>
              <w:marTop w:val="0"/>
              <w:marBottom w:val="0"/>
              <w:divBdr>
                <w:top w:val="none" w:sz="0" w:space="0" w:color="auto"/>
                <w:left w:val="none" w:sz="0" w:space="0" w:color="auto"/>
                <w:bottom w:val="none" w:sz="0" w:space="0" w:color="auto"/>
                <w:right w:val="none" w:sz="0" w:space="0" w:color="auto"/>
              </w:divBdr>
              <w:divsChild>
                <w:div w:id="15315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435">
      <w:bodyDiv w:val="1"/>
      <w:marLeft w:val="0"/>
      <w:marRight w:val="0"/>
      <w:marTop w:val="0"/>
      <w:marBottom w:val="0"/>
      <w:divBdr>
        <w:top w:val="none" w:sz="0" w:space="0" w:color="auto"/>
        <w:left w:val="none" w:sz="0" w:space="0" w:color="auto"/>
        <w:bottom w:val="none" w:sz="0" w:space="0" w:color="auto"/>
        <w:right w:val="none" w:sz="0" w:space="0" w:color="auto"/>
      </w:divBdr>
    </w:div>
    <w:div w:id="1263535437">
      <w:bodyDiv w:val="1"/>
      <w:marLeft w:val="0"/>
      <w:marRight w:val="0"/>
      <w:marTop w:val="0"/>
      <w:marBottom w:val="0"/>
      <w:divBdr>
        <w:top w:val="none" w:sz="0" w:space="0" w:color="auto"/>
        <w:left w:val="none" w:sz="0" w:space="0" w:color="auto"/>
        <w:bottom w:val="none" w:sz="0" w:space="0" w:color="auto"/>
        <w:right w:val="none" w:sz="0" w:space="0" w:color="auto"/>
      </w:divBdr>
    </w:div>
    <w:div w:id="1305433646">
      <w:bodyDiv w:val="1"/>
      <w:marLeft w:val="0"/>
      <w:marRight w:val="0"/>
      <w:marTop w:val="0"/>
      <w:marBottom w:val="0"/>
      <w:divBdr>
        <w:top w:val="none" w:sz="0" w:space="0" w:color="auto"/>
        <w:left w:val="none" w:sz="0" w:space="0" w:color="auto"/>
        <w:bottom w:val="none" w:sz="0" w:space="0" w:color="auto"/>
        <w:right w:val="none" w:sz="0" w:space="0" w:color="auto"/>
      </w:divBdr>
    </w:div>
    <w:div w:id="1332029323">
      <w:bodyDiv w:val="1"/>
      <w:marLeft w:val="0"/>
      <w:marRight w:val="0"/>
      <w:marTop w:val="0"/>
      <w:marBottom w:val="0"/>
      <w:divBdr>
        <w:top w:val="none" w:sz="0" w:space="0" w:color="auto"/>
        <w:left w:val="none" w:sz="0" w:space="0" w:color="auto"/>
        <w:bottom w:val="none" w:sz="0" w:space="0" w:color="auto"/>
        <w:right w:val="none" w:sz="0" w:space="0" w:color="auto"/>
      </w:divBdr>
    </w:div>
    <w:div w:id="1383990367">
      <w:bodyDiv w:val="1"/>
      <w:marLeft w:val="0"/>
      <w:marRight w:val="0"/>
      <w:marTop w:val="0"/>
      <w:marBottom w:val="0"/>
      <w:divBdr>
        <w:top w:val="none" w:sz="0" w:space="0" w:color="auto"/>
        <w:left w:val="none" w:sz="0" w:space="0" w:color="auto"/>
        <w:bottom w:val="none" w:sz="0" w:space="0" w:color="auto"/>
        <w:right w:val="none" w:sz="0" w:space="0" w:color="auto"/>
      </w:divBdr>
    </w:div>
    <w:div w:id="1391153955">
      <w:bodyDiv w:val="1"/>
      <w:marLeft w:val="0"/>
      <w:marRight w:val="0"/>
      <w:marTop w:val="0"/>
      <w:marBottom w:val="0"/>
      <w:divBdr>
        <w:top w:val="none" w:sz="0" w:space="0" w:color="auto"/>
        <w:left w:val="none" w:sz="0" w:space="0" w:color="auto"/>
        <w:bottom w:val="none" w:sz="0" w:space="0" w:color="auto"/>
        <w:right w:val="none" w:sz="0" w:space="0" w:color="auto"/>
      </w:divBdr>
      <w:divsChild>
        <w:div w:id="303432046">
          <w:marLeft w:val="0"/>
          <w:marRight w:val="0"/>
          <w:marTop w:val="0"/>
          <w:marBottom w:val="0"/>
          <w:divBdr>
            <w:top w:val="none" w:sz="0" w:space="0" w:color="auto"/>
            <w:left w:val="none" w:sz="0" w:space="0" w:color="auto"/>
            <w:bottom w:val="none" w:sz="0" w:space="0" w:color="auto"/>
            <w:right w:val="none" w:sz="0" w:space="0" w:color="auto"/>
          </w:divBdr>
          <w:divsChild>
            <w:div w:id="1346712763">
              <w:marLeft w:val="0"/>
              <w:marRight w:val="0"/>
              <w:marTop w:val="0"/>
              <w:marBottom w:val="0"/>
              <w:divBdr>
                <w:top w:val="none" w:sz="0" w:space="0" w:color="auto"/>
                <w:left w:val="none" w:sz="0" w:space="0" w:color="auto"/>
                <w:bottom w:val="none" w:sz="0" w:space="0" w:color="auto"/>
                <w:right w:val="none" w:sz="0" w:space="0" w:color="auto"/>
              </w:divBdr>
              <w:divsChild>
                <w:div w:id="1355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66828">
      <w:bodyDiv w:val="1"/>
      <w:marLeft w:val="0"/>
      <w:marRight w:val="0"/>
      <w:marTop w:val="0"/>
      <w:marBottom w:val="0"/>
      <w:divBdr>
        <w:top w:val="none" w:sz="0" w:space="0" w:color="auto"/>
        <w:left w:val="none" w:sz="0" w:space="0" w:color="auto"/>
        <w:bottom w:val="none" w:sz="0" w:space="0" w:color="auto"/>
        <w:right w:val="none" w:sz="0" w:space="0" w:color="auto"/>
      </w:divBdr>
      <w:divsChild>
        <w:div w:id="1797677986">
          <w:marLeft w:val="0"/>
          <w:marRight w:val="0"/>
          <w:marTop w:val="0"/>
          <w:marBottom w:val="0"/>
          <w:divBdr>
            <w:top w:val="none" w:sz="0" w:space="0" w:color="auto"/>
            <w:left w:val="none" w:sz="0" w:space="0" w:color="auto"/>
            <w:bottom w:val="none" w:sz="0" w:space="0" w:color="auto"/>
            <w:right w:val="none" w:sz="0" w:space="0" w:color="auto"/>
          </w:divBdr>
          <w:divsChild>
            <w:div w:id="404911959">
              <w:marLeft w:val="0"/>
              <w:marRight w:val="0"/>
              <w:marTop w:val="0"/>
              <w:marBottom w:val="0"/>
              <w:divBdr>
                <w:top w:val="none" w:sz="0" w:space="0" w:color="auto"/>
                <w:left w:val="none" w:sz="0" w:space="0" w:color="auto"/>
                <w:bottom w:val="none" w:sz="0" w:space="0" w:color="auto"/>
                <w:right w:val="none" w:sz="0" w:space="0" w:color="auto"/>
              </w:divBdr>
              <w:divsChild>
                <w:div w:id="11593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2158">
      <w:bodyDiv w:val="1"/>
      <w:marLeft w:val="0"/>
      <w:marRight w:val="0"/>
      <w:marTop w:val="0"/>
      <w:marBottom w:val="0"/>
      <w:divBdr>
        <w:top w:val="none" w:sz="0" w:space="0" w:color="auto"/>
        <w:left w:val="none" w:sz="0" w:space="0" w:color="auto"/>
        <w:bottom w:val="none" w:sz="0" w:space="0" w:color="auto"/>
        <w:right w:val="none" w:sz="0" w:space="0" w:color="auto"/>
      </w:divBdr>
    </w:div>
    <w:div w:id="1407874787">
      <w:bodyDiv w:val="1"/>
      <w:marLeft w:val="0"/>
      <w:marRight w:val="0"/>
      <w:marTop w:val="0"/>
      <w:marBottom w:val="0"/>
      <w:divBdr>
        <w:top w:val="none" w:sz="0" w:space="0" w:color="auto"/>
        <w:left w:val="none" w:sz="0" w:space="0" w:color="auto"/>
        <w:bottom w:val="none" w:sz="0" w:space="0" w:color="auto"/>
        <w:right w:val="none" w:sz="0" w:space="0" w:color="auto"/>
      </w:divBdr>
    </w:div>
    <w:div w:id="1470128222">
      <w:bodyDiv w:val="1"/>
      <w:marLeft w:val="0"/>
      <w:marRight w:val="0"/>
      <w:marTop w:val="0"/>
      <w:marBottom w:val="0"/>
      <w:divBdr>
        <w:top w:val="none" w:sz="0" w:space="0" w:color="auto"/>
        <w:left w:val="none" w:sz="0" w:space="0" w:color="auto"/>
        <w:bottom w:val="none" w:sz="0" w:space="0" w:color="auto"/>
        <w:right w:val="none" w:sz="0" w:space="0" w:color="auto"/>
      </w:divBdr>
      <w:divsChild>
        <w:div w:id="2051878080">
          <w:marLeft w:val="0"/>
          <w:marRight w:val="0"/>
          <w:marTop w:val="0"/>
          <w:marBottom w:val="0"/>
          <w:divBdr>
            <w:top w:val="none" w:sz="0" w:space="0" w:color="auto"/>
            <w:left w:val="none" w:sz="0" w:space="0" w:color="auto"/>
            <w:bottom w:val="none" w:sz="0" w:space="0" w:color="auto"/>
            <w:right w:val="none" w:sz="0" w:space="0" w:color="auto"/>
          </w:divBdr>
          <w:divsChild>
            <w:div w:id="174079494">
              <w:marLeft w:val="0"/>
              <w:marRight w:val="0"/>
              <w:marTop w:val="0"/>
              <w:marBottom w:val="0"/>
              <w:divBdr>
                <w:top w:val="none" w:sz="0" w:space="0" w:color="auto"/>
                <w:left w:val="none" w:sz="0" w:space="0" w:color="auto"/>
                <w:bottom w:val="none" w:sz="0" w:space="0" w:color="auto"/>
                <w:right w:val="none" w:sz="0" w:space="0" w:color="auto"/>
              </w:divBdr>
              <w:divsChild>
                <w:div w:id="17099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4433">
      <w:bodyDiv w:val="1"/>
      <w:marLeft w:val="0"/>
      <w:marRight w:val="0"/>
      <w:marTop w:val="0"/>
      <w:marBottom w:val="0"/>
      <w:divBdr>
        <w:top w:val="none" w:sz="0" w:space="0" w:color="auto"/>
        <w:left w:val="none" w:sz="0" w:space="0" w:color="auto"/>
        <w:bottom w:val="none" w:sz="0" w:space="0" w:color="auto"/>
        <w:right w:val="none" w:sz="0" w:space="0" w:color="auto"/>
      </w:divBdr>
    </w:div>
    <w:div w:id="1506944886">
      <w:bodyDiv w:val="1"/>
      <w:marLeft w:val="0"/>
      <w:marRight w:val="0"/>
      <w:marTop w:val="0"/>
      <w:marBottom w:val="0"/>
      <w:divBdr>
        <w:top w:val="none" w:sz="0" w:space="0" w:color="auto"/>
        <w:left w:val="none" w:sz="0" w:space="0" w:color="auto"/>
        <w:bottom w:val="none" w:sz="0" w:space="0" w:color="auto"/>
        <w:right w:val="none" w:sz="0" w:space="0" w:color="auto"/>
      </w:divBdr>
      <w:divsChild>
        <w:div w:id="891310371">
          <w:marLeft w:val="0"/>
          <w:marRight w:val="0"/>
          <w:marTop w:val="0"/>
          <w:marBottom w:val="48"/>
          <w:divBdr>
            <w:top w:val="none" w:sz="0" w:space="0" w:color="auto"/>
            <w:left w:val="none" w:sz="0" w:space="0" w:color="auto"/>
            <w:bottom w:val="none" w:sz="0" w:space="0" w:color="auto"/>
            <w:right w:val="none" w:sz="0" w:space="0" w:color="auto"/>
          </w:divBdr>
          <w:divsChild>
            <w:div w:id="783116597">
              <w:marLeft w:val="0"/>
              <w:marRight w:val="0"/>
              <w:marTop w:val="0"/>
              <w:marBottom w:val="0"/>
              <w:divBdr>
                <w:top w:val="none" w:sz="0" w:space="0" w:color="auto"/>
                <w:left w:val="none" w:sz="0" w:space="0" w:color="auto"/>
                <w:bottom w:val="none" w:sz="0" w:space="0" w:color="auto"/>
                <w:right w:val="none" w:sz="0" w:space="0" w:color="auto"/>
              </w:divBdr>
              <w:divsChild>
                <w:div w:id="218370684">
                  <w:marLeft w:val="0"/>
                  <w:marRight w:val="0"/>
                  <w:marTop w:val="0"/>
                  <w:marBottom w:val="0"/>
                  <w:divBdr>
                    <w:top w:val="none" w:sz="0" w:space="0" w:color="auto"/>
                    <w:left w:val="none" w:sz="0" w:space="0" w:color="auto"/>
                    <w:bottom w:val="none" w:sz="0" w:space="0" w:color="auto"/>
                    <w:right w:val="none" w:sz="0" w:space="0" w:color="auto"/>
                  </w:divBdr>
                  <w:divsChild>
                    <w:div w:id="239222398">
                      <w:marLeft w:val="0"/>
                      <w:marRight w:val="0"/>
                      <w:marTop w:val="0"/>
                      <w:marBottom w:val="0"/>
                      <w:divBdr>
                        <w:top w:val="none" w:sz="0" w:space="0" w:color="auto"/>
                        <w:left w:val="none" w:sz="0" w:space="0" w:color="auto"/>
                        <w:bottom w:val="none" w:sz="0" w:space="0" w:color="auto"/>
                        <w:right w:val="none" w:sz="0" w:space="0" w:color="auto"/>
                      </w:divBdr>
                      <w:divsChild>
                        <w:div w:id="1708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28200">
          <w:marLeft w:val="0"/>
          <w:marRight w:val="0"/>
          <w:marTop w:val="0"/>
          <w:marBottom w:val="48"/>
          <w:divBdr>
            <w:top w:val="none" w:sz="0" w:space="0" w:color="auto"/>
            <w:left w:val="none" w:sz="0" w:space="0" w:color="auto"/>
            <w:bottom w:val="none" w:sz="0" w:space="0" w:color="auto"/>
            <w:right w:val="none" w:sz="0" w:space="0" w:color="auto"/>
          </w:divBdr>
          <w:divsChild>
            <w:div w:id="1250967669">
              <w:marLeft w:val="0"/>
              <w:marRight w:val="0"/>
              <w:marTop w:val="0"/>
              <w:marBottom w:val="0"/>
              <w:divBdr>
                <w:top w:val="none" w:sz="0" w:space="0" w:color="auto"/>
                <w:left w:val="none" w:sz="0" w:space="0" w:color="auto"/>
                <w:bottom w:val="none" w:sz="0" w:space="0" w:color="auto"/>
                <w:right w:val="none" w:sz="0" w:space="0" w:color="auto"/>
              </w:divBdr>
            </w:div>
            <w:div w:id="946541304">
              <w:marLeft w:val="0"/>
              <w:marRight w:val="0"/>
              <w:marTop w:val="0"/>
              <w:marBottom w:val="0"/>
              <w:divBdr>
                <w:top w:val="none" w:sz="0" w:space="0" w:color="auto"/>
                <w:left w:val="none" w:sz="0" w:space="0" w:color="auto"/>
                <w:bottom w:val="none" w:sz="0" w:space="0" w:color="auto"/>
                <w:right w:val="none" w:sz="0" w:space="0" w:color="auto"/>
              </w:divBdr>
              <w:divsChild>
                <w:div w:id="1377580137">
                  <w:marLeft w:val="0"/>
                  <w:marRight w:val="0"/>
                  <w:marTop w:val="0"/>
                  <w:marBottom w:val="0"/>
                  <w:divBdr>
                    <w:top w:val="none" w:sz="0" w:space="0" w:color="auto"/>
                    <w:left w:val="none" w:sz="0" w:space="0" w:color="auto"/>
                    <w:bottom w:val="none" w:sz="0" w:space="0" w:color="auto"/>
                    <w:right w:val="none" w:sz="0" w:space="0" w:color="auto"/>
                  </w:divBdr>
                  <w:divsChild>
                    <w:div w:id="412162625">
                      <w:marLeft w:val="0"/>
                      <w:marRight w:val="0"/>
                      <w:marTop w:val="0"/>
                      <w:marBottom w:val="0"/>
                      <w:divBdr>
                        <w:top w:val="none" w:sz="0" w:space="0" w:color="auto"/>
                        <w:left w:val="none" w:sz="0" w:space="0" w:color="auto"/>
                        <w:bottom w:val="none" w:sz="0" w:space="0" w:color="auto"/>
                        <w:right w:val="none" w:sz="0" w:space="0" w:color="auto"/>
                      </w:divBdr>
                      <w:divsChild>
                        <w:div w:id="16390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73490">
      <w:bodyDiv w:val="1"/>
      <w:marLeft w:val="0"/>
      <w:marRight w:val="0"/>
      <w:marTop w:val="0"/>
      <w:marBottom w:val="0"/>
      <w:divBdr>
        <w:top w:val="none" w:sz="0" w:space="0" w:color="auto"/>
        <w:left w:val="none" w:sz="0" w:space="0" w:color="auto"/>
        <w:bottom w:val="none" w:sz="0" w:space="0" w:color="auto"/>
        <w:right w:val="none" w:sz="0" w:space="0" w:color="auto"/>
      </w:divBdr>
    </w:div>
    <w:div w:id="1525436749">
      <w:bodyDiv w:val="1"/>
      <w:marLeft w:val="0"/>
      <w:marRight w:val="0"/>
      <w:marTop w:val="0"/>
      <w:marBottom w:val="0"/>
      <w:divBdr>
        <w:top w:val="none" w:sz="0" w:space="0" w:color="auto"/>
        <w:left w:val="none" w:sz="0" w:space="0" w:color="auto"/>
        <w:bottom w:val="none" w:sz="0" w:space="0" w:color="auto"/>
        <w:right w:val="none" w:sz="0" w:space="0" w:color="auto"/>
      </w:divBdr>
      <w:divsChild>
        <w:div w:id="1776557557">
          <w:marLeft w:val="0"/>
          <w:marRight w:val="0"/>
          <w:marTop w:val="0"/>
          <w:marBottom w:val="0"/>
          <w:divBdr>
            <w:top w:val="none" w:sz="0" w:space="0" w:color="auto"/>
            <w:left w:val="none" w:sz="0" w:space="0" w:color="auto"/>
            <w:bottom w:val="none" w:sz="0" w:space="0" w:color="auto"/>
            <w:right w:val="none" w:sz="0" w:space="0" w:color="auto"/>
          </w:divBdr>
          <w:divsChild>
            <w:div w:id="433553129">
              <w:marLeft w:val="0"/>
              <w:marRight w:val="0"/>
              <w:marTop w:val="0"/>
              <w:marBottom w:val="0"/>
              <w:divBdr>
                <w:top w:val="none" w:sz="0" w:space="0" w:color="auto"/>
                <w:left w:val="none" w:sz="0" w:space="0" w:color="auto"/>
                <w:bottom w:val="none" w:sz="0" w:space="0" w:color="auto"/>
                <w:right w:val="none" w:sz="0" w:space="0" w:color="auto"/>
              </w:divBdr>
              <w:divsChild>
                <w:div w:id="503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0062">
      <w:bodyDiv w:val="1"/>
      <w:marLeft w:val="0"/>
      <w:marRight w:val="0"/>
      <w:marTop w:val="0"/>
      <w:marBottom w:val="0"/>
      <w:divBdr>
        <w:top w:val="none" w:sz="0" w:space="0" w:color="auto"/>
        <w:left w:val="none" w:sz="0" w:space="0" w:color="auto"/>
        <w:bottom w:val="none" w:sz="0" w:space="0" w:color="auto"/>
        <w:right w:val="none" w:sz="0" w:space="0" w:color="auto"/>
      </w:divBdr>
      <w:divsChild>
        <w:div w:id="1282373793">
          <w:marLeft w:val="0"/>
          <w:marRight w:val="0"/>
          <w:marTop w:val="0"/>
          <w:marBottom w:val="0"/>
          <w:divBdr>
            <w:top w:val="none" w:sz="0" w:space="0" w:color="auto"/>
            <w:left w:val="none" w:sz="0" w:space="0" w:color="auto"/>
            <w:bottom w:val="none" w:sz="0" w:space="0" w:color="auto"/>
            <w:right w:val="none" w:sz="0" w:space="0" w:color="auto"/>
          </w:divBdr>
          <w:divsChild>
            <w:div w:id="319425672">
              <w:marLeft w:val="0"/>
              <w:marRight w:val="0"/>
              <w:marTop w:val="0"/>
              <w:marBottom w:val="0"/>
              <w:divBdr>
                <w:top w:val="none" w:sz="0" w:space="0" w:color="auto"/>
                <w:left w:val="none" w:sz="0" w:space="0" w:color="auto"/>
                <w:bottom w:val="none" w:sz="0" w:space="0" w:color="auto"/>
                <w:right w:val="none" w:sz="0" w:space="0" w:color="auto"/>
              </w:divBdr>
              <w:divsChild>
                <w:div w:id="10096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1821">
      <w:bodyDiv w:val="1"/>
      <w:marLeft w:val="0"/>
      <w:marRight w:val="0"/>
      <w:marTop w:val="0"/>
      <w:marBottom w:val="0"/>
      <w:divBdr>
        <w:top w:val="none" w:sz="0" w:space="0" w:color="auto"/>
        <w:left w:val="none" w:sz="0" w:space="0" w:color="auto"/>
        <w:bottom w:val="none" w:sz="0" w:space="0" w:color="auto"/>
        <w:right w:val="none" w:sz="0" w:space="0" w:color="auto"/>
      </w:divBdr>
    </w:div>
    <w:div w:id="1565215008">
      <w:bodyDiv w:val="1"/>
      <w:marLeft w:val="0"/>
      <w:marRight w:val="0"/>
      <w:marTop w:val="0"/>
      <w:marBottom w:val="0"/>
      <w:divBdr>
        <w:top w:val="none" w:sz="0" w:space="0" w:color="auto"/>
        <w:left w:val="none" w:sz="0" w:space="0" w:color="auto"/>
        <w:bottom w:val="none" w:sz="0" w:space="0" w:color="auto"/>
        <w:right w:val="none" w:sz="0" w:space="0" w:color="auto"/>
      </w:divBdr>
    </w:div>
    <w:div w:id="1570074636">
      <w:bodyDiv w:val="1"/>
      <w:marLeft w:val="0"/>
      <w:marRight w:val="0"/>
      <w:marTop w:val="0"/>
      <w:marBottom w:val="0"/>
      <w:divBdr>
        <w:top w:val="none" w:sz="0" w:space="0" w:color="auto"/>
        <w:left w:val="none" w:sz="0" w:space="0" w:color="auto"/>
        <w:bottom w:val="none" w:sz="0" w:space="0" w:color="auto"/>
        <w:right w:val="none" w:sz="0" w:space="0" w:color="auto"/>
      </w:divBdr>
    </w:div>
    <w:div w:id="1611163628">
      <w:bodyDiv w:val="1"/>
      <w:marLeft w:val="0"/>
      <w:marRight w:val="0"/>
      <w:marTop w:val="0"/>
      <w:marBottom w:val="0"/>
      <w:divBdr>
        <w:top w:val="none" w:sz="0" w:space="0" w:color="auto"/>
        <w:left w:val="none" w:sz="0" w:space="0" w:color="auto"/>
        <w:bottom w:val="none" w:sz="0" w:space="0" w:color="auto"/>
        <w:right w:val="none" w:sz="0" w:space="0" w:color="auto"/>
      </w:divBdr>
    </w:div>
    <w:div w:id="1621759028">
      <w:bodyDiv w:val="1"/>
      <w:marLeft w:val="0"/>
      <w:marRight w:val="0"/>
      <w:marTop w:val="0"/>
      <w:marBottom w:val="0"/>
      <w:divBdr>
        <w:top w:val="none" w:sz="0" w:space="0" w:color="auto"/>
        <w:left w:val="none" w:sz="0" w:space="0" w:color="auto"/>
        <w:bottom w:val="none" w:sz="0" w:space="0" w:color="auto"/>
        <w:right w:val="none" w:sz="0" w:space="0" w:color="auto"/>
      </w:divBdr>
      <w:divsChild>
        <w:div w:id="1155217261">
          <w:marLeft w:val="0"/>
          <w:marRight w:val="0"/>
          <w:marTop w:val="0"/>
          <w:marBottom w:val="0"/>
          <w:divBdr>
            <w:top w:val="none" w:sz="0" w:space="0" w:color="auto"/>
            <w:left w:val="none" w:sz="0" w:space="0" w:color="auto"/>
            <w:bottom w:val="none" w:sz="0" w:space="0" w:color="auto"/>
            <w:right w:val="none" w:sz="0" w:space="0" w:color="auto"/>
          </w:divBdr>
          <w:divsChild>
            <w:div w:id="1537039155">
              <w:marLeft w:val="0"/>
              <w:marRight w:val="0"/>
              <w:marTop w:val="0"/>
              <w:marBottom w:val="0"/>
              <w:divBdr>
                <w:top w:val="none" w:sz="0" w:space="0" w:color="auto"/>
                <w:left w:val="none" w:sz="0" w:space="0" w:color="auto"/>
                <w:bottom w:val="none" w:sz="0" w:space="0" w:color="auto"/>
                <w:right w:val="none" w:sz="0" w:space="0" w:color="auto"/>
              </w:divBdr>
              <w:divsChild>
                <w:div w:id="1108037857">
                  <w:marLeft w:val="0"/>
                  <w:marRight w:val="0"/>
                  <w:marTop w:val="0"/>
                  <w:marBottom w:val="0"/>
                  <w:divBdr>
                    <w:top w:val="none" w:sz="0" w:space="0" w:color="auto"/>
                    <w:left w:val="none" w:sz="0" w:space="0" w:color="auto"/>
                    <w:bottom w:val="none" w:sz="0" w:space="0" w:color="auto"/>
                    <w:right w:val="none" w:sz="0" w:space="0" w:color="auto"/>
                  </w:divBdr>
                  <w:divsChild>
                    <w:div w:id="1744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6015">
      <w:bodyDiv w:val="1"/>
      <w:marLeft w:val="0"/>
      <w:marRight w:val="0"/>
      <w:marTop w:val="0"/>
      <w:marBottom w:val="0"/>
      <w:divBdr>
        <w:top w:val="none" w:sz="0" w:space="0" w:color="auto"/>
        <w:left w:val="none" w:sz="0" w:space="0" w:color="auto"/>
        <w:bottom w:val="none" w:sz="0" w:space="0" w:color="auto"/>
        <w:right w:val="none" w:sz="0" w:space="0" w:color="auto"/>
      </w:divBdr>
    </w:div>
    <w:div w:id="1684816819">
      <w:bodyDiv w:val="1"/>
      <w:marLeft w:val="0"/>
      <w:marRight w:val="0"/>
      <w:marTop w:val="0"/>
      <w:marBottom w:val="0"/>
      <w:divBdr>
        <w:top w:val="none" w:sz="0" w:space="0" w:color="auto"/>
        <w:left w:val="none" w:sz="0" w:space="0" w:color="auto"/>
        <w:bottom w:val="none" w:sz="0" w:space="0" w:color="auto"/>
        <w:right w:val="none" w:sz="0" w:space="0" w:color="auto"/>
      </w:divBdr>
    </w:div>
    <w:div w:id="1767648221">
      <w:bodyDiv w:val="1"/>
      <w:marLeft w:val="0"/>
      <w:marRight w:val="0"/>
      <w:marTop w:val="0"/>
      <w:marBottom w:val="0"/>
      <w:divBdr>
        <w:top w:val="none" w:sz="0" w:space="0" w:color="auto"/>
        <w:left w:val="none" w:sz="0" w:space="0" w:color="auto"/>
        <w:bottom w:val="none" w:sz="0" w:space="0" w:color="auto"/>
        <w:right w:val="none" w:sz="0" w:space="0" w:color="auto"/>
      </w:divBdr>
    </w:div>
    <w:div w:id="1775857345">
      <w:bodyDiv w:val="1"/>
      <w:marLeft w:val="0"/>
      <w:marRight w:val="0"/>
      <w:marTop w:val="0"/>
      <w:marBottom w:val="0"/>
      <w:divBdr>
        <w:top w:val="none" w:sz="0" w:space="0" w:color="auto"/>
        <w:left w:val="none" w:sz="0" w:space="0" w:color="auto"/>
        <w:bottom w:val="none" w:sz="0" w:space="0" w:color="auto"/>
        <w:right w:val="none" w:sz="0" w:space="0" w:color="auto"/>
      </w:divBdr>
    </w:div>
    <w:div w:id="1781535893">
      <w:bodyDiv w:val="1"/>
      <w:marLeft w:val="0"/>
      <w:marRight w:val="0"/>
      <w:marTop w:val="0"/>
      <w:marBottom w:val="0"/>
      <w:divBdr>
        <w:top w:val="none" w:sz="0" w:space="0" w:color="auto"/>
        <w:left w:val="none" w:sz="0" w:space="0" w:color="auto"/>
        <w:bottom w:val="none" w:sz="0" w:space="0" w:color="auto"/>
        <w:right w:val="none" w:sz="0" w:space="0" w:color="auto"/>
      </w:divBdr>
    </w:div>
    <w:div w:id="1806964510">
      <w:bodyDiv w:val="1"/>
      <w:marLeft w:val="0"/>
      <w:marRight w:val="0"/>
      <w:marTop w:val="0"/>
      <w:marBottom w:val="0"/>
      <w:divBdr>
        <w:top w:val="none" w:sz="0" w:space="0" w:color="auto"/>
        <w:left w:val="none" w:sz="0" w:space="0" w:color="auto"/>
        <w:bottom w:val="none" w:sz="0" w:space="0" w:color="auto"/>
        <w:right w:val="none" w:sz="0" w:space="0" w:color="auto"/>
      </w:divBdr>
    </w:div>
    <w:div w:id="1815171690">
      <w:bodyDiv w:val="1"/>
      <w:marLeft w:val="0"/>
      <w:marRight w:val="0"/>
      <w:marTop w:val="0"/>
      <w:marBottom w:val="0"/>
      <w:divBdr>
        <w:top w:val="none" w:sz="0" w:space="0" w:color="auto"/>
        <w:left w:val="none" w:sz="0" w:space="0" w:color="auto"/>
        <w:bottom w:val="none" w:sz="0" w:space="0" w:color="auto"/>
        <w:right w:val="none" w:sz="0" w:space="0" w:color="auto"/>
      </w:divBdr>
      <w:divsChild>
        <w:div w:id="453521160">
          <w:marLeft w:val="0"/>
          <w:marRight w:val="0"/>
          <w:marTop w:val="0"/>
          <w:marBottom w:val="0"/>
          <w:divBdr>
            <w:top w:val="none" w:sz="0" w:space="0" w:color="auto"/>
            <w:left w:val="none" w:sz="0" w:space="0" w:color="auto"/>
            <w:bottom w:val="none" w:sz="0" w:space="0" w:color="auto"/>
            <w:right w:val="none" w:sz="0" w:space="0" w:color="auto"/>
          </w:divBdr>
          <w:divsChild>
            <w:div w:id="495613521">
              <w:marLeft w:val="0"/>
              <w:marRight w:val="0"/>
              <w:marTop w:val="0"/>
              <w:marBottom w:val="0"/>
              <w:divBdr>
                <w:top w:val="none" w:sz="0" w:space="0" w:color="auto"/>
                <w:left w:val="none" w:sz="0" w:space="0" w:color="auto"/>
                <w:bottom w:val="none" w:sz="0" w:space="0" w:color="auto"/>
                <w:right w:val="none" w:sz="0" w:space="0" w:color="auto"/>
              </w:divBdr>
              <w:divsChild>
                <w:div w:id="14180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55512">
      <w:bodyDiv w:val="1"/>
      <w:marLeft w:val="0"/>
      <w:marRight w:val="0"/>
      <w:marTop w:val="0"/>
      <w:marBottom w:val="0"/>
      <w:divBdr>
        <w:top w:val="none" w:sz="0" w:space="0" w:color="auto"/>
        <w:left w:val="none" w:sz="0" w:space="0" w:color="auto"/>
        <w:bottom w:val="none" w:sz="0" w:space="0" w:color="auto"/>
        <w:right w:val="none" w:sz="0" w:space="0" w:color="auto"/>
      </w:divBdr>
    </w:div>
    <w:div w:id="1851334478">
      <w:bodyDiv w:val="1"/>
      <w:marLeft w:val="0"/>
      <w:marRight w:val="0"/>
      <w:marTop w:val="0"/>
      <w:marBottom w:val="0"/>
      <w:divBdr>
        <w:top w:val="none" w:sz="0" w:space="0" w:color="auto"/>
        <w:left w:val="none" w:sz="0" w:space="0" w:color="auto"/>
        <w:bottom w:val="none" w:sz="0" w:space="0" w:color="auto"/>
        <w:right w:val="none" w:sz="0" w:space="0" w:color="auto"/>
      </w:divBdr>
    </w:div>
    <w:div w:id="1871870720">
      <w:bodyDiv w:val="1"/>
      <w:marLeft w:val="0"/>
      <w:marRight w:val="0"/>
      <w:marTop w:val="0"/>
      <w:marBottom w:val="0"/>
      <w:divBdr>
        <w:top w:val="none" w:sz="0" w:space="0" w:color="auto"/>
        <w:left w:val="none" w:sz="0" w:space="0" w:color="auto"/>
        <w:bottom w:val="none" w:sz="0" w:space="0" w:color="auto"/>
        <w:right w:val="none" w:sz="0" w:space="0" w:color="auto"/>
      </w:divBdr>
      <w:divsChild>
        <w:div w:id="322858828">
          <w:marLeft w:val="0"/>
          <w:marRight w:val="0"/>
          <w:marTop w:val="0"/>
          <w:marBottom w:val="0"/>
          <w:divBdr>
            <w:top w:val="none" w:sz="0" w:space="0" w:color="auto"/>
            <w:left w:val="none" w:sz="0" w:space="0" w:color="auto"/>
            <w:bottom w:val="none" w:sz="0" w:space="0" w:color="auto"/>
            <w:right w:val="none" w:sz="0" w:space="0" w:color="auto"/>
          </w:divBdr>
          <w:divsChild>
            <w:div w:id="1312101188">
              <w:marLeft w:val="0"/>
              <w:marRight w:val="0"/>
              <w:marTop w:val="0"/>
              <w:marBottom w:val="0"/>
              <w:divBdr>
                <w:top w:val="none" w:sz="0" w:space="0" w:color="auto"/>
                <w:left w:val="none" w:sz="0" w:space="0" w:color="auto"/>
                <w:bottom w:val="none" w:sz="0" w:space="0" w:color="auto"/>
                <w:right w:val="none" w:sz="0" w:space="0" w:color="auto"/>
              </w:divBdr>
              <w:divsChild>
                <w:div w:id="6743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5279">
      <w:bodyDiv w:val="1"/>
      <w:marLeft w:val="0"/>
      <w:marRight w:val="0"/>
      <w:marTop w:val="0"/>
      <w:marBottom w:val="0"/>
      <w:divBdr>
        <w:top w:val="none" w:sz="0" w:space="0" w:color="auto"/>
        <w:left w:val="none" w:sz="0" w:space="0" w:color="auto"/>
        <w:bottom w:val="none" w:sz="0" w:space="0" w:color="auto"/>
        <w:right w:val="none" w:sz="0" w:space="0" w:color="auto"/>
      </w:divBdr>
      <w:divsChild>
        <w:div w:id="1347250079">
          <w:marLeft w:val="0"/>
          <w:marRight w:val="0"/>
          <w:marTop w:val="0"/>
          <w:marBottom w:val="0"/>
          <w:divBdr>
            <w:top w:val="none" w:sz="0" w:space="0" w:color="auto"/>
            <w:left w:val="none" w:sz="0" w:space="0" w:color="auto"/>
            <w:bottom w:val="none" w:sz="0" w:space="0" w:color="auto"/>
            <w:right w:val="none" w:sz="0" w:space="0" w:color="auto"/>
          </w:divBdr>
          <w:divsChild>
            <w:div w:id="53967679">
              <w:marLeft w:val="0"/>
              <w:marRight w:val="0"/>
              <w:marTop w:val="0"/>
              <w:marBottom w:val="0"/>
              <w:divBdr>
                <w:top w:val="none" w:sz="0" w:space="0" w:color="auto"/>
                <w:left w:val="none" w:sz="0" w:space="0" w:color="auto"/>
                <w:bottom w:val="none" w:sz="0" w:space="0" w:color="auto"/>
                <w:right w:val="none" w:sz="0" w:space="0" w:color="auto"/>
              </w:divBdr>
              <w:divsChild>
                <w:div w:id="3591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8448">
      <w:bodyDiv w:val="1"/>
      <w:marLeft w:val="0"/>
      <w:marRight w:val="0"/>
      <w:marTop w:val="0"/>
      <w:marBottom w:val="0"/>
      <w:divBdr>
        <w:top w:val="none" w:sz="0" w:space="0" w:color="auto"/>
        <w:left w:val="none" w:sz="0" w:space="0" w:color="auto"/>
        <w:bottom w:val="none" w:sz="0" w:space="0" w:color="auto"/>
        <w:right w:val="none" w:sz="0" w:space="0" w:color="auto"/>
      </w:divBdr>
    </w:div>
    <w:div w:id="1906916160">
      <w:bodyDiv w:val="1"/>
      <w:marLeft w:val="0"/>
      <w:marRight w:val="0"/>
      <w:marTop w:val="0"/>
      <w:marBottom w:val="0"/>
      <w:divBdr>
        <w:top w:val="none" w:sz="0" w:space="0" w:color="auto"/>
        <w:left w:val="none" w:sz="0" w:space="0" w:color="auto"/>
        <w:bottom w:val="none" w:sz="0" w:space="0" w:color="auto"/>
        <w:right w:val="none" w:sz="0" w:space="0" w:color="auto"/>
      </w:divBdr>
    </w:div>
    <w:div w:id="1917471166">
      <w:bodyDiv w:val="1"/>
      <w:marLeft w:val="0"/>
      <w:marRight w:val="0"/>
      <w:marTop w:val="0"/>
      <w:marBottom w:val="0"/>
      <w:divBdr>
        <w:top w:val="none" w:sz="0" w:space="0" w:color="auto"/>
        <w:left w:val="none" w:sz="0" w:space="0" w:color="auto"/>
        <w:bottom w:val="none" w:sz="0" w:space="0" w:color="auto"/>
        <w:right w:val="none" w:sz="0" w:space="0" w:color="auto"/>
      </w:divBdr>
    </w:div>
    <w:div w:id="1937133927">
      <w:bodyDiv w:val="1"/>
      <w:marLeft w:val="0"/>
      <w:marRight w:val="0"/>
      <w:marTop w:val="0"/>
      <w:marBottom w:val="0"/>
      <w:divBdr>
        <w:top w:val="none" w:sz="0" w:space="0" w:color="auto"/>
        <w:left w:val="none" w:sz="0" w:space="0" w:color="auto"/>
        <w:bottom w:val="none" w:sz="0" w:space="0" w:color="auto"/>
        <w:right w:val="none" w:sz="0" w:space="0" w:color="auto"/>
      </w:divBdr>
    </w:div>
    <w:div w:id="1951813328">
      <w:bodyDiv w:val="1"/>
      <w:marLeft w:val="0"/>
      <w:marRight w:val="0"/>
      <w:marTop w:val="0"/>
      <w:marBottom w:val="0"/>
      <w:divBdr>
        <w:top w:val="none" w:sz="0" w:space="0" w:color="auto"/>
        <w:left w:val="none" w:sz="0" w:space="0" w:color="auto"/>
        <w:bottom w:val="none" w:sz="0" w:space="0" w:color="auto"/>
        <w:right w:val="none" w:sz="0" w:space="0" w:color="auto"/>
      </w:divBdr>
    </w:div>
    <w:div w:id="1977292328">
      <w:bodyDiv w:val="1"/>
      <w:marLeft w:val="0"/>
      <w:marRight w:val="0"/>
      <w:marTop w:val="0"/>
      <w:marBottom w:val="0"/>
      <w:divBdr>
        <w:top w:val="none" w:sz="0" w:space="0" w:color="auto"/>
        <w:left w:val="none" w:sz="0" w:space="0" w:color="auto"/>
        <w:bottom w:val="none" w:sz="0" w:space="0" w:color="auto"/>
        <w:right w:val="none" w:sz="0" w:space="0" w:color="auto"/>
      </w:divBdr>
    </w:div>
    <w:div w:id="2058502853">
      <w:bodyDiv w:val="1"/>
      <w:marLeft w:val="0"/>
      <w:marRight w:val="0"/>
      <w:marTop w:val="0"/>
      <w:marBottom w:val="0"/>
      <w:divBdr>
        <w:top w:val="none" w:sz="0" w:space="0" w:color="auto"/>
        <w:left w:val="none" w:sz="0" w:space="0" w:color="auto"/>
        <w:bottom w:val="none" w:sz="0" w:space="0" w:color="auto"/>
        <w:right w:val="none" w:sz="0" w:space="0" w:color="auto"/>
      </w:divBdr>
    </w:div>
    <w:div w:id="21246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IJEM-02-2016-0042" TargetMode="External"/><Relationship Id="rId18" Type="http://schemas.openxmlformats.org/officeDocument/2006/relationships/hyperlink" Target="https://doi.org/10.1108/IJLLS-08-2016-0021" TargetMode="External"/><Relationship Id="rId26" Type="http://schemas.openxmlformats.org/officeDocument/2006/relationships/hyperlink" Target="https://doi.org/10.5539/ies.v7n13p253" TargetMode="External"/><Relationship Id="rId39" Type="http://schemas.openxmlformats.org/officeDocument/2006/relationships/hyperlink" Target="https://doi.org/10.1207/s15430421tip4104_3" TargetMode="External"/><Relationship Id="rId21" Type="http://schemas.openxmlformats.org/officeDocument/2006/relationships/hyperlink" Target="https://doi.org/10.1016/j.sbspro.2014.09.336" TargetMode="External"/><Relationship Id="rId34" Type="http://schemas.openxmlformats.org/officeDocument/2006/relationships/hyperlink" Target="https://www.emerald.com/insight/search?q=Daniel%20Martin" TargetMode="External"/><Relationship Id="rId42" Type="http://schemas.openxmlformats.org/officeDocument/2006/relationships/hyperlink" Target="https://doi.org/10.1007/s11858-010-0240-2" TargetMode="External"/><Relationship Id="rId47" Type="http://schemas.openxmlformats.org/officeDocument/2006/relationships/hyperlink" Target="https://doi.org/10.1007/s10212-013-0190-5" TargetMode="External"/><Relationship Id="rId50" Type="http://schemas.openxmlformats.org/officeDocument/2006/relationships/hyperlink" Target="https://doi.org/10.1080/02619768.2016.12128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b.gov.hk/attachment/en/curriculum-development/renewal/Brief_TEKLA_E.pdf" TargetMode="External"/><Relationship Id="rId29" Type="http://schemas.openxmlformats.org/officeDocument/2006/relationships/hyperlink" Target="https://doi.org/10.1108/IJLLS-03-2015-0012" TargetMode="External"/><Relationship Id="rId11" Type="http://schemas.openxmlformats.org/officeDocument/2006/relationships/hyperlink" Target="https://eric.ed.gov/?id=EJ1068058" TargetMode="External"/><Relationship Id="rId24" Type="http://schemas.openxmlformats.org/officeDocument/2006/relationships/hyperlink" Target="http://dx.doi.org/10.5539/ass.v9n16p112" TargetMode="External"/><Relationship Id="rId32" Type="http://schemas.openxmlformats.org/officeDocument/2006/relationships/hyperlink" Target="https://doi.org/10.1016/j.tate.2010.03.006" TargetMode="External"/><Relationship Id="rId37" Type="http://schemas.openxmlformats.org/officeDocument/2006/relationships/hyperlink" Target="https://doi.org/10.1108/IJLLS-10-2014-0039" TargetMode="External"/><Relationship Id="rId40" Type="http://schemas.openxmlformats.org/officeDocument/2006/relationships/hyperlink" Target="https://www.ideals.illinois.edu/bitstream/handle/2142/17676/ctrstreadtechrepv01984i00328_opt.pdf?sequence=1" TargetMode="External"/><Relationship Id="rId45" Type="http://schemas.openxmlformats.org/officeDocument/2006/relationships/hyperlink" Target="https://doi.org/10.5220/0008409001360144"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sycnet.apa.org/doi/10.2307/2136427" TargetMode="External"/><Relationship Id="rId19" Type="http://schemas.openxmlformats.org/officeDocument/2006/relationships/hyperlink" Target="https://doi.org/10.1007/s10734-014-9849-3" TargetMode="External"/><Relationship Id="rId31" Type="http://schemas.openxmlformats.org/officeDocument/2006/relationships/hyperlink" Target="https://files.eric.ed.gov/fulltext/ED474273.pdf" TargetMode="External"/><Relationship Id="rId44" Type="http://schemas.openxmlformats.org/officeDocument/2006/relationships/hyperlink" Target="https://doi.org/10.1023/A:100304423103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8/IJLLS-03-2017-0016" TargetMode="External"/><Relationship Id="rId14" Type="http://schemas.openxmlformats.org/officeDocument/2006/relationships/hyperlink" Target="https://doi.org/10.1080/19415257.2018.1430050" TargetMode="External"/><Relationship Id="rId22" Type="http://schemas.openxmlformats.org/officeDocument/2006/relationships/hyperlink" Target="https://doi.org/10.1177/002743210709300414" TargetMode="External"/><Relationship Id="rId27" Type="http://schemas.openxmlformats.org/officeDocument/2006/relationships/hyperlink" Target="https://doi.org/10.1007/978-3-319-66659-4_13" TargetMode="External"/><Relationship Id="rId30" Type="http://schemas.openxmlformats.org/officeDocument/2006/relationships/hyperlink" Target="https://doi.org/10.1016/j.tate.2016.04.002" TargetMode="External"/><Relationship Id="rId35" Type="http://schemas.openxmlformats.org/officeDocument/2006/relationships/hyperlink" Target="https://www.emerald.com/insight/search?q=Anne%20Clerc-Georgy" TargetMode="External"/><Relationship Id="rId43" Type="http://schemas.openxmlformats.org/officeDocument/2006/relationships/hyperlink" Target="https://doi.org/10.1007/bf02212307" TargetMode="External"/><Relationship Id="rId48" Type="http://schemas.openxmlformats.org/officeDocument/2006/relationships/hyperlink" Target="https://doi.org/10.1007/s11409-006-6893-0" TargetMode="External"/><Relationship Id="rId8" Type="http://schemas.openxmlformats.org/officeDocument/2006/relationships/hyperlink" Target="https://doi.org/10.1016/j.sbspro.2011.04.364"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080/1359866X.2013.869546" TargetMode="External"/><Relationship Id="rId17" Type="http://schemas.openxmlformats.org/officeDocument/2006/relationships/hyperlink" Target="https://www.edb.gov.hk/attachment/en/curriculum-development/renewal/Guides/SECG%20booklet%2011_en_20180831.pdf" TargetMode="External"/><Relationship Id="rId25" Type="http://schemas.openxmlformats.org/officeDocument/2006/relationships/hyperlink" Target="https://doi.org/10.5539/ass.v10n4p108" TargetMode="External"/><Relationship Id="rId33" Type="http://schemas.openxmlformats.org/officeDocument/2006/relationships/hyperlink" Target="http://eprints.leedsbeckett.ac.uk/5264/1/JoiningtheDotsAM-LOFTHOUSE.pdf" TargetMode="External"/><Relationship Id="rId38" Type="http://schemas.openxmlformats.org/officeDocument/2006/relationships/hyperlink" Target="https://doi.org/10.1108/IJLLS-12-2015-0047" TargetMode="External"/><Relationship Id="rId46" Type="http://schemas.openxmlformats.org/officeDocument/2006/relationships/hyperlink" Target="https://doi.org/10.1187/cbe.12-03-0033" TargetMode="External"/><Relationship Id="rId20" Type="http://schemas.openxmlformats.org/officeDocument/2006/relationships/hyperlink" Target="https://doi-org.ezproxy.eduhk.hk/10.4324/9780203795538" TargetMode="External"/><Relationship Id="rId41" Type="http://schemas.openxmlformats.org/officeDocument/2006/relationships/hyperlink" Target="https://files.eric.ed.gov/fulltext/EJ119595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3674589800200042" TargetMode="External"/><Relationship Id="rId23" Type="http://schemas.openxmlformats.org/officeDocument/2006/relationships/hyperlink" Target="https://doi.org/10.1080/03323315.2019.1613252" TargetMode="External"/><Relationship Id="rId28" Type="http://schemas.openxmlformats.org/officeDocument/2006/relationships/hyperlink" Target="https://doi.org/10.1007/s11409-010-9060-6" TargetMode="External"/><Relationship Id="rId36" Type="http://schemas.openxmlformats.org/officeDocument/2006/relationships/hyperlink" Target="https://www.emerald.com/insight/publication/issn/2046-8253" TargetMode="External"/><Relationship Id="rId49" Type="http://schemas.openxmlformats.org/officeDocument/2006/relationships/hyperlink" Target="https://doi.org/10.12973/eurasia.2017.00605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B3402C2-1D97-EE4F-9DB5-F70D3A0C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7961</Words>
  <Characters>45379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KEUNG ERIC CHENG</dc:creator>
  <cp:keywords/>
  <dc:description/>
  <cp:lastModifiedBy>CHENG, Chi Keung Eric [C&amp;I]</cp:lastModifiedBy>
  <cp:revision>8</cp:revision>
  <cp:lastPrinted>2020-08-13T05:55:00Z</cp:lastPrinted>
  <dcterms:created xsi:type="dcterms:W3CDTF">2020-08-13T01:38:00Z</dcterms:created>
  <dcterms:modified xsi:type="dcterms:W3CDTF">2020-08-13T14:21:00Z</dcterms:modified>
</cp:coreProperties>
</file>